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兴银理财安愉悦享1号净值型理财产品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兴银理财安愉悦享1号净值型理财产品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9K217040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203,696,942.42份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4.00%-7.00%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兴银安愉悦享1号A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9K21704A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85,320,164.61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兴银安愉悦享1号B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9K21704B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118,376,777.81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产品9K21704A自成立日以来，累计净值增长率为-0.9180%，年化累计净值增长率为-1.8210%。</w:t>
            </w:r>
            <w:r>
              <w:rPr>
                <w:rFonts w:ascii="宋体" w:hAnsi="宋体" w:eastAsia="宋体" w:cs="宋体"/>
                <w:color w:val="000000"/>
                <w:sz w:val="21"/>
              </w:rPr>
              <w:br w:type="textWrapping"/>
            </w:r>
            <w:r>
              <w:rPr>
                <w:rFonts w:ascii="宋体" w:hAnsi="宋体" w:eastAsia="宋体" w:cs="宋体"/>
                <w:color w:val="000000"/>
                <w:sz w:val="21"/>
              </w:rPr>
              <w:t>产品9K21704B自成立日以来，累计净值增长率为-0.8720%，年化累计净值增长率为-1.7298%。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9K217040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201,881,552.10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9K21704A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84,536,772.36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9K21704B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117,344,779.74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税、</w:t>
            </w:r>
            <w:bookmarkStart w:id="7" w:name="_GoBack"/>
            <w:bookmarkEnd w:id="7"/>
            <w:r>
              <w:rPr>
                <w:rFonts w:ascii="宋体" w:hAnsi="宋体" w:eastAsia="宋体" w:cs="宋体"/>
                <w:color w:val="000000"/>
                <w:sz w:val="21"/>
              </w:rPr>
              <w:t>费、基建、地产限购限贷政策及其他产业政策等将加码，疫情修复及防控政策变化对消费恢复影响较大。</w:t>
            </w:r>
            <w:r>
              <w:rPr>
                <w:rFonts w:ascii="宋体" w:hAnsi="宋体" w:eastAsia="宋体" w:cs="宋体"/>
                <w:color w:val="000000"/>
                <w:sz w:val="21"/>
              </w:rPr>
              <w:br w:type="textWrapping"/>
            </w: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21广州农村商业银行CD072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19,439,180.00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21晋能电力MTN014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10,422,700.00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21饶资02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10,190,180.00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21丽水01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10,155,950.00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21石狮产业MTN001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10,153,940.00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21章控02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10,146,620.00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21莆田国资PPN003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10,083,110.00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21绿水01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10,077,980.00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21吴中城投PPN004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10,064,640.00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兴银理财安愉悦享1号净值型理财产品2022年第一季度报告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9K217040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21建发集MTN004(权益出资)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051010100101271003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兴银理财安愉悦享1号净值型理财产品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3A4B0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3426</Words>
  <Characters>4057</Characters>
  <TotalTime>0</TotalTime>
  <ScaleCrop>false</ScaleCrop>
  <LinksUpToDate>false</LinksUpToDate>
  <CharactersWithSpaces>4190</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2022-04-18T09:23:47Z</dcterms:created>
  <dc:creator>Administrator</dc:creator>
  <cp:lastModifiedBy>Administrator</cp:lastModifiedBy>
  <dcterms:modified xsi:type="dcterms:W3CDTF">2022-04-18T09:23:58Z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6819F095CC184442A8A1470655AF3764</vt:lpwstr>
  </property>
</Properties>
</file>