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10,261,520,755.40份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产品9K218018自成立日以来，累计净值增长率为14.3990%，年化累计净值增长率为4.2350%。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1.14399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10,391,218,480.55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999,868,345.00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999,867,796.00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954,235,100.00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21中国银行二级03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713,189,320.00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2021网商银行0167（网商鸿微7期A1）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559,945,680.00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20汇丰银行01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420,740,880.00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381,237,959.63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Z渝-同业借款20211129001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299,986,641.00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20招商银行永续债01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234,172,890.00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