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兴银理财ESG兴动未来1号净值型理财产品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兴银理财ESG兴动未来1号净值型理财产品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9K221501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Z7002021000149</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813,595,609.55份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w:t>
            </w:r>
            <w:r>
              <w:rPr>
                <w:rFonts w:hint="eastAsia" w:ascii="宋体" w:hAnsi="宋体" w:eastAsia="宋体" w:cs="宋体"/>
                <w:color w:val="000000"/>
                <w:sz w:val="21"/>
                <w:lang w:val="en-US" w:eastAsia="zh-CN"/>
              </w:rPr>
              <w:t>报酬计提起点</w:t>
            </w:r>
            <w:bookmarkStart w:id="7" w:name="_GoBack"/>
            <w:bookmarkEnd w:id="7"/>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4.60%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200" w:type="dxa"/>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产品9K221501自成立日以来，累计净值增长率为1.6710%，年化累计净值增长率为2.2098%。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00" w:type="dxa"/>
            <w:gridSpan w:val="3"/>
          </w:tcPr>
          <w:p>
            <w:pPr>
              <w:pStyle w:val="4"/>
            </w:pPr>
          </w:p>
        </w:tc>
        <w:tc>
          <w:tcPr>
            <w:tcW w:w="50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3" w:name="JR_PAGE_ANCHOR_0_4"/>
            <w:bookmarkEnd w:id="3"/>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1.01671</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1.01671</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827,192,170.35</w:t>
            </w: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56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7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20" w:hRule="exact"/>
        </w:trPr>
        <w:tc>
          <w:tcPr>
            <w:tcW w:w="1" w:type="dxa"/>
          </w:tcPr>
          <w:p>
            <w:pPr>
              <w:pStyle w:val="4"/>
            </w:pPr>
          </w:p>
        </w:tc>
        <w:tc>
          <w:tcPr>
            <w:tcW w:w="2600" w:type="dxa"/>
            <w:gridSpan w:val="5"/>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6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回顾。宏观层面，2022年，市场最重要的两个非线性变化，即俄乌冲突带来的全球通胀升温、中国加强疫情管控带来的经济衰退和供应链紊乱，而以上两个因素都使得全球经济维持滞涨的时间会增加、因而带来的民粹势力进一步激化、政策更加激进。从市场层面看，商品维持高位震荡，相比去年，基础化石能源的价格至少上涨一倍，而我国作为全球供应链的制造环节，中高端利润会大幅压缩，而中低端由于利润不足，会进一步向东南亚快速转移，反映在权益市场上，A股相对其他发展经济体，调整幅度最大，除了外部冲击，可能也同时在体现全球政策极端化、国别间政策风险不断增加，以及国内政治生态、政策合成谬误等各种因素带来的市场冲击，债券市场则多空因素交织，表现出窄幅震荡格局。</w:t>
            </w:r>
            <w:r>
              <w:rPr>
                <w:rFonts w:ascii="宋体" w:hAnsi="宋体" w:eastAsia="宋体" w:cs="宋体"/>
                <w:color w:val="000000"/>
                <w:sz w:val="21"/>
              </w:rPr>
              <w:br w:type="textWrapping"/>
            </w:r>
            <w:r>
              <w:rPr>
                <w:rFonts w:ascii="宋体" w:hAnsi="宋体" w:eastAsia="宋体" w:cs="宋体"/>
                <w:color w:val="000000"/>
                <w:sz w:val="21"/>
              </w:rPr>
              <w:t xml:space="preserve">    二、市场展望。展望后市，可能2022年全年都将是相对困难的一年，整体呈现市场差、政策进的状态。权益市场压制因素较多，投资受地产销售大幅下滑、政策松绑迟缓、拿地情绪较差、民企融资困难等众多因素的影响，短期较难恢复增长，促使后期供给端、需求端政策调整的空间和力度都将逐步增大，但真正看到数据企稳，也要到下半年，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出口方面，一是由于海外疫情政策放松，供应链逐步修复；二是国内疫情政策趋严，供应链存在阶段性冲击，2021年出口高速增长的势头存在减缓的可能。通胀方面，随着国际能源价格的不断上升，中国很难独善其身，PPI可能出现环比上升的态势，CPI在下半年压力会增加。上述复杂的宏观环境，债券市场短期在通胀预期以及稳增长政策的驱动下，存在压力，但中期看，经济衰退的风险仍在，且概率偏高，债券市场仍有博弈的机会；权益市场，年初以来的大幅调整，使得较多股票已经达到合理的价格区间和估值水平，但是市场的反转需要时间或空间来消化，在当前的市场中，我们应选择竞争力较强的行业和公司进行布局，待市场休整完毕后，竞争格局好、增长潜力大的公司必然会逐步显现并增长。</w:t>
            </w:r>
            <w:r>
              <w:rPr>
                <w:rFonts w:ascii="宋体" w:hAnsi="宋体" w:eastAsia="宋体" w:cs="宋体"/>
                <w:color w:val="000000"/>
                <w:sz w:val="21"/>
              </w:rPr>
              <w:br w:type="textWrapping"/>
            </w:r>
            <w:r>
              <w:rPr>
                <w:rFonts w:ascii="宋体" w:hAnsi="宋体" w:eastAsia="宋体" w:cs="宋体"/>
                <w:color w:val="000000"/>
                <w:sz w:val="21"/>
              </w:rPr>
              <w:t xml:space="preserve">    三、组合策略。</w:t>
            </w:r>
            <w:r>
              <w:rPr>
                <w:rFonts w:ascii="宋体" w:hAnsi="宋体" w:eastAsia="宋体" w:cs="宋体"/>
                <w:color w:val="000000"/>
                <w:sz w:val="21"/>
              </w:rPr>
              <w:br w:type="textWrapping"/>
            </w:r>
            <w:r>
              <w:rPr>
                <w:rFonts w:ascii="宋体" w:hAnsi="宋体" w:eastAsia="宋体" w:cs="宋体"/>
                <w:color w:val="000000"/>
                <w:sz w:val="21"/>
              </w:rPr>
              <w:t xml:space="preserve">    兴动未来1号采用高仓位债券资产，久期1.5-2.5年；权益仓位低于10%，结构中，整体配置较为均衡，成长板块，逐步减持新能源车的上下游，提升维持高景气赛道绿色产业（即储能、光伏、风电）的配置比例，均配周期价值等低估值板块，增加了中小盘市场公司，此外，增加了种植、消费等行业比例，提升组合均衡性。</w:t>
            </w:r>
            <w:r>
              <w:rPr>
                <w:rFonts w:ascii="宋体" w:hAnsi="宋体" w:eastAsia="宋体" w:cs="宋体"/>
                <w:color w:val="000000"/>
                <w:sz w:val="21"/>
              </w:rPr>
              <w:br w:type="textWrapping"/>
            </w:r>
            <w:r>
              <w:rPr>
                <w:rFonts w:ascii="宋体" w:hAnsi="宋体" w:eastAsia="宋体" w:cs="宋体"/>
                <w:color w:val="000000"/>
                <w:sz w:val="21"/>
              </w:rPr>
              <w:t xml:space="preserve">    四、市场认知</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2600" w:type="dxa"/>
            <w:gridSpan w:val="5"/>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400" w:type="dxa"/>
          </w:tcPr>
          <w:p>
            <w:pPr>
              <w:pStyle w:val="4"/>
            </w:pPr>
          </w:p>
        </w:tc>
        <w:tc>
          <w:tcPr>
            <w:tcW w:w="2800" w:type="dxa"/>
            <w:gridSpan w:val="4"/>
          </w:tcPr>
          <w:p>
            <w:pPr>
              <w:pStyle w:val="4"/>
            </w:pPr>
          </w:p>
        </w:tc>
        <w:tc>
          <w:tcPr>
            <w:tcW w:w="1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24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年初以来的市场调整，让很多投资人对理财产品和公募、私募基金等资管产品感到失望，尤其是银行理财产品，作为管理人，感受到的更多的是渠道的压力和客户的不解。今年是银行理财净值化转型的元年，原先漂亮的一路朝东北方向奔去的净值曲线不见了，取而代之的是跌宕起伏的看不清方向的曲线，一方面，是由于理财产品底层基础资产采用市价法估值带来的价格波动直接体现在产品每日的净值中，但更重要的一方面是近几年来股票、债券市场的持续、快速上涨的趋势可能会回归正常。2019年以来股票市场呈现结构性牛市，2018年以来债券市场长牛走势持续，而资本市场总归有其周期性和波动性，高回报总是阶段性产生的，就像天气，有冬储，才有春天，我们期待能陪伴持有人一起将投资期周期不断拉长，能够等到下一个春天的到来，而不要因为急于离场而错失机会。我们不能说自己处于最好的时代，但我们大概率处于中国的后工业化时期，制造业高端化的过程中，随着房地产飞速增长时代的结束，金融资产大概率会成为居民主要的财富管理手段，还是那句话，希望持有人能够在相对较长的持有期内分享到中国企业利润增长的红利，在市场风险逐步释放的过程中，静待花开。</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0" w:hRule="exact"/>
        </w:trPr>
        <w:tc>
          <w:tcPr>
            <w:tcW w:w="1" w:type="dxa"/>
          </w:tcPr>
          <w:p>
            <w:pPr>
              <w:pStyle w:val="4"/>
            </w:pPr>
          </w:p>
        </w:tc>
        <w:tc>
          <w:tcPr>
            <w:tcW w:w="20" w:type="dxa"/>
          </w:tcPr>
          <w:p>
            <w:pPr>
              <w:pStyle w:val="4"/>
            </w:pPr>
          </w:p>
        </w:tc>
        <w:tc>
          <w:tcPr>
            <w:tcW w:w="10700" w:type="dxa"/>
            <w:gridSpan w:val="20"/>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77.61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81.51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0.99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8.67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8.67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5" w:name="JR_PAGE_ANCHOR_0_6"/>
            <w:bookmarkEnd w:id="5"/>
          </w:p>
        </w:tc>
        <w:tc>
          <w:tcPr>
            <w:tcW w:w="200" w:type="dxa"/>
            <w:gridSpan w:val="4"/>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200" w:type="dxa"/>
            <w:gridSpan w:val="4"/>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40"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万和共盈65号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50,010,200.00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6.05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48,488,184.97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43,022,059.00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21华福C2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40,449,240.00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21泉城03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39,721,560.00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20筑城01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39,213,360.00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20云投G3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38,039,880.00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21淮水02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30,613,980.00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21武夷01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30,339,510.00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21旭辉02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29,626,260.00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00" w:hRule="exact"/>
        </w:trPr>
        <w:tc>
          <w:tcPr>
            <w:tcW w:w="1" w:type="dxa"/>
          </w:tcPr>
          <w:p>
            <w:pPr>
              <w:pStyle w:val="4"/>
            </w:pPr>
          </w:p>
        </w:tc>
        <w:tc>
          <w:tcPr>
            <w:tcW w:w="200" w:type="dxa"/>
            <w:gridSpan w:val="4"/>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200" w:type="dxa"/>
            <w:gridSpan w:val="4"/>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20晋能MTN013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21镇国投CP001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29,000,000.00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21娄底城发MTN001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4,500,000.00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60" w:hRule="exact"/>
        </w:trPr>
        <w:tc>
          <w:tcPr>
            <w:tcW w:w="1" w:type="dxa"/>
          </w:tcPr>
          <w:p>
            <w:pPr>
              <w:pStyle w:val="4"/>
            </w:pPr>
          </w:p>
        </w:tc>
        <w:tc>
          <w:tcPr>
            <w:tcW w:w="200" w:type="dxa"/>
            <w:gridSpan w:val="4"/>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200" w:type="dxa"/>
            <w:gridSpan w:val="4"/>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9K221501</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21淮安交通PPN001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21"/>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051010100101221547</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兴银理财ESG兴动未来1号净值型理财产品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6"/>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32DB5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2022-04-18T07:43:28Z</dcterms:created>
  <dc:creator>016709</dc:creator>
  <cp:lastModifiedBy>吴姗</cp:lastModifiedBy>
  <dcterms:modified xsi:type="dcterms:W3CDTF">2022-04-18T07:43:50Z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