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1,017,150,000份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1,017,150,000.00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产品9K51022A自成立日以来，累计净值增长率为1.6210%，年化累计净值增长率为4.9305%。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1,033,638,876.00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1,033,638,876.00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资深固定收益投资经理，累计管理规模700亿。现任兴银理财专户投资部高级投资经理，拟任短债开放式产品投资经理。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兴瀚资管-新希望可转债优先配售融资业务（瑞鑫10号）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745,047,680.00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兴瀚资管-瑞鑫10号单一资产管理计划（杉杉集团）</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259,934,220.00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