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3,904,199,307.97份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3,904,199,307.97</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产品9K810012自成立日以来，累计净值增长率为6.5950%，年化累计净值增长率为4.0457%。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4,161,697,713.32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4,161,697,713.32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499,338,500.00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Z存放同业（线上）20220216004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199,991,606.05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97,407,900.00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21华夏银行CD082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97,046,000.00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90,618,030.00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19青租02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80,564,640.00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20钟楼新城MTN002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70,992,180.00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70,250,110.00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21广投能源SCP004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Z存放同业（线上）20220216004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