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兴银理财稳添利短债3号净值型理财产品2022年第一季度报告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兴银理财稳添利短债3号净值型理财产品</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p>
            <w:pPr>
              <w:pStyle w:val="4"/>
            </w:pPr>
          </w:p>
        </w:tc>
      </w:tr>
      <w:tr>
        <w:tblPrEx>
          <w:tblCellMar>
            <w:top w:w="0" w:type="dxa"/>
            <w:left w:w="10" w:type="dxa"/>
            <w:bottom w:w="0" w:type="dxa"/>
            <w:right w:w="10" w:type="dxa"/>
          </w:tblCellMar>
        </w:tblPrEx>
        <w:trPr>
          <w:gridAfter w:val="3"/>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兴银理财稳添利短债3号净值型理财产品2022年第一季度报告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兴银理财稳添利短债3号净值型理财产品2022年第一季度报告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兴银理财稳添利短债3号净值型理财产品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9K810030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Z7002021000123</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1,654,993,679.9份</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中债新综合全价（1年以下）指数收益率</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稳添利短债3号A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9K81003A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852,729,672.54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稳添利短债3号B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9K81003B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802,264,007.36</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兴银理财稳添利短债3号净值型理财产品2022年第一季度报告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产品9K81003A自成立日以来，累计净值增长率为2.5680%，年化累计净值增长率为3.4845%。</w:t>
            </w:r>
            <w:r>
              <w:rPr>
                <w:rFonts w:ascii="宋体" w:hAnsi="宋体" w:eastAsia="宋体" w:cs="宋体"/>
                <w:color w:val="000000"/>
                <w:sz w:val="21"/>
              </w:rPr>
              <w:br w:type="textWrapping"/>
            </w:r>
            <w:r>
              <w:rPr>
                <w:rFonts w:ascii="宋体" w:hAnsi="宋体" w:eastAsia="宋体" w:cs="宋体"/>
                <w:color w:val="000000"/>
                <w:sz w:val="21"/>
              </w:rPr>
              <w:t>产品9K81003B自成立日以来，累计净值增长率为2.6400%，年化累计净值增长率为3.5822%。</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1.02603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1.02603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1,698,070,354.37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9K81003A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874,629,366.62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9K81003B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1.02640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1.02640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823,440,987.75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7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r>
            <w:r>
              <w:rPr>
                <w:rFonts w:ascii="宋体" w:hAnsi="宋体" w:eastAsia="宋体" w:cs="宋体"/>
                <w:color w:val="000000"/>
                <w:sz w:val="21"/>
              </w:rPr>
              <w:br w:type="textWrapping"/>
            </w:r>
            <w:r>
              <w:rPr>
                <w:rFonts w:ascii="宋体" w:hAnsi="宋体" w:eastAsia="宋体" w:cs="宋体"/>
                <w:color w:val="000000"/>
                <w:sz w:val="21"/>
              </w:rP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兴银理财稳添利短债3号净值型理财产品2022年第一季度报告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信</w:t>
            </w:r>
            <w:bookmarkStart w:id="7" w:name="_GoBack"/>
            <w:bookmarkEnd w:id="7"/>
            <w:r>
              <w:rPr>
                <w:rFonts w:ascii="宋体" w:hAnsi="宋体" w:eastAsia="宋体" w:cs="宋体"/>
                <w:color w:val="000000"/>
                <w:sz w:val="21"/>
              </w:rPr>
              <w:t>用政策加码，二三季度经济可能企稳上行，债市收益率存在上行压力。在国内外复杂的环境下，债市整体多空交织，预计二季度利率仍将维持区间震荡走势。</w:t>
            </w:r>
            <w:r>
              <w:rPr>
                <w:rFonts w:ascii="宋体" w:hAnsi="宋体" w:eastAsia="宋体" w:cs="宋体"/>
                <w:color w:val="000000"/>
                <w:sz w:val="21"/>
              </w:rPr>
              <w:br w:type="textWrapping"/>
            </w:r>
            <w:r>
              <w:rPr>
                <w:rFonts w:ascii="宋体" w:hAnsi="宋体" w:eastAsia="宋体" w:cs="宋体"/>
                <w:color w:val="000000"/>
                <w:sz w:val="21"/>
              </w:rPr>
              <w:t>二、运作回顾</w:t>
            </w:r>
            <w:r>
              <w:rPr>
                <w:rFonts w:ascii="宋体" w:hAnsi="宋体" w:eastAsia="宋体" w:cs="宋体"/>
                <w:color w:val="000000"/>
                <w:sz w:val="21"/>
              </w:rPr>
              <w:br w:type="textWrapping"/>
            </w:r>
            <w:r>
              <w:rPr>
                <w:rFonts w:ascii="宋体" w:hAnsi="宋体" w:eastAsia="宋体" w:cs="宋体"/>
                <w:color w:val="000000"/>
                <w:sz w:val="21"/>
              </w:rP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r>
            <w:r>
              <w:rPr>
                <w:rFonts w:ascii="宋体" w:hAnsi="宋体" w:eastAsia="宋体" w:cs="宋体"/>
                <w:color w:val="000000"/>
                <w:sz w:val="21"/>
              </w:rPr>
              <w:br w:type="textWrapping"/>
            </w:r>
            <w:r>
              <w:rPr>
                <w:rFonts w:ascii="宋体" w:hAnsi="宋体" w:eastAsia="宋体" w:cs="宋体"/>
                <w:color w:val="000000"/>
                <w:sz w:val="21"/>
              </w:rPr>
              <w:t>三、展望投资策略</w:t>
            </w:r>
            <w:r>
              <w:rPr>
                <w:rFonts w:ascii="宋体" w:hAnsi="宋体" w:eastAsia="宋体" w:cs="宋体"/>
                <w:color w:val="000000"/>
                <w:sz w:val="21"/>
              </w:rPr>
              <w:br w:type="textWrapping"/>
            </w:r>
            <w:r>
              <w:rPr>
                <w:rFonts w:ascii="宋体" w:hAnsi="宋体" w:eastAsia="宋体" w:cs="宋体"/>
                <w:color w:val="000000"/>
                <w:sz w:val="21"/>
              </w:rPr>
              <w:t xml:space="preserve">    展望二季度，产品将继续保持稳健的投资风格。1、发挥票息策略优势，同时维持中性偏谨慎的杠杆水平与组合久期。2、把握住利率反弹时的配置机会，关注市场波动带来的交易机会。</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93.73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12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20农发清发03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120,484,080.00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兴银理财稳添利短债3号净值型理财产品2022年第一季度报告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20通用MTN001A</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99,908,300.00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21宁波银行CD208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97,380,800.00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19联投01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61,097,040.00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19西南C1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60,385,980.00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20常经01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50,565,850.00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17荆门城投PPN001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50,174,350.00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20金融街MTN002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40,553,840.00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20淮安水利PPN001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40,421,000.00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21信地01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40,294,680.00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17象屿MTN003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19阳煤PPN005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21武汉碧水GN001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19东湖高新PPN001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19淮安经开MTN001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20南平武夷MTN001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22海发集团SCP001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9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兴银理财稳添利短债3号净值型理财产品2022年第一季度报告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051010100101211209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兴银理财稳添利短债3号净值型理财产品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gridSpan w:val="3"/>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800"/>
  <w:compat>
    <w:useFELayout/>
    <w:splitPgBreakAndParaMark/>
    <w:compatSetting w:name="compatibilityMode" w:uri="http://schemas.microsoft.com/office/word" w:val="12"/>
  </w:compat>
  <w:rsids>
    <w:rsidRoot w:val="00000000"/>
    <w:rsid w:val="0AB832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2937</Words>
  <Characters>3691</Characters>
  <TotalTime>0</TotalTime>
  <ScaleCrop>false</ScaleCrop>
  <LinksUpToDate>false</LinksUpToDate>
  <CharactersWithSpaces>3800</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2022-04-18T11:40:42Z</dcterms:created>
  <dc:creator>Administrator</dc:creator>
  <cp:lastModifiedBy>Administrator</cp:lastModifiedBy>
  <dcterms:modified xsi:type="dcterms:W3CDTF">2022-04-18T11:41:24Z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eyJoZGlkIjoiYzhlZjE2NzA4YjlmNzdkZWI0ZGJiOTI3NDc0M2Q1NDYifQ==</vt:lpwstr>
  </property>
  <property fmtid="{D5CDD505-2E9C-101B-9397-08002B2CF9AE}" pid="3" name="KSOProductBuildVer">
    <vt:lpwstr>2052-11.1.0.11636</vt:lpwstr>
  </property>
  <property fmtid="{D5CDD505-2E9C-101B-9397-08002B2CF9AE}" pid="4" name="ICV">
    <vt:lpwstr>9FF693780EFE4286924F3B068AF0B743</vt:lpwstr>
  </property>
</Properties>
</file>