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2,356,635,636.9份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2,356,635,636.90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产品9K81006A自成立日以来，累计净值增长率为2.0630%，年化累计净值增长率为3.6553%。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2,405,254,736.09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2,405,254,736.09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499,558,000.00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150,012,600.00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90,208,531.00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19海保02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70,610,470.00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60,803,940.00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60,705,480.00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21如皋经贸SCP004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60,206,820.00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21如皋经贸SCP004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Z存放同业（线上）20220323001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