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兴银理财天天万利宝稳利恒盈7号D款净值型理财产品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兴银理财天天万利宝稳利恒盈7号D款净值型理财产品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3,291,645,878.85份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4.10%-4.60%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稳利恒盈7号D款 14个月</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3,291,645,878.85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产品9N21213A自成立日以来，累计净值增长率为2.1840%，年化累计净值增长率为2.6931%。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3,363,527,494.55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3,363,527,494.55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3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率</w:t>
            </w:r>
            <w:bookmarkStart w:id="7" w:name="_GoBack"/>
            <w:bookmarkEnd w:id="7"/>
            <w:r>
              <w:rPr>
                <w:rFonts w:ascii="宋体" w:hAnsi="宋体" w:eastAsia="宋体" w:cs="宋体"/>
                <w:color w:val="000000"/>
                <w:sz w:val="21"/>
              </w:rPr>
              <w:t>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展望二季度，产品将继续保持稳健的投资风格。1、发挥票息策略优势，同时维持中性偏谨慎的杠杆水平与组合久期。2、把握住利率反弹时的配置机会，关注市场波动带来的交易机会。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5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Z京-同业借款20210720003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499,961,029.00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Z京-同业借款20210715004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499,955,813.00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Z沪-同业借款20210809003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499,955,215.00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190,663,686.38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18东方债02BC(品种三)</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180,275,140.00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130,890,500.00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116,639,160.00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17中国信达债03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104,781,500.00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100,689,173.00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景顺长城鼎泰1号集合资产管理计划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99,893,598.15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21兖矿MTN002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21台州经济MTN001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21赣州发展MTN001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18东方债02BC(品种三)</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051010100101216106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兴银理财天天万利宝稳利恒盈7号D款净值型理财产品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800"/>
  <w:compat>
    <w:useFELayout/>
    <w:splitPgBreakAndParaMark/>
    <w:compatSetting w:name="compatibilityMode" w:uri="http://schemas.microsoft.com/office/word" w:val="12"/>
  </w:compat>
  <w:rsids>
    <w:rsidRoot w:val="00000000"/>
    <w:rsid w:val="400C32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2935</Words>
  <Characters>3665</Characters>
  <TotalTime>0</TotalTime>
  <ScaleCrop>false</ScaleCrop>
  <LinksUpToDate>false</LinksUpToDate>
  <CharactersWithSpaces>3775</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2022-04-18T10:05:46Z</dcterms:created>
  <dc:creator>Administrator</dc:creator>
  <cp:lastModifiedBy>Administrator</cp:lastModifiedBy>
  <dcterms:modified xsi:type="dcterms:W3CDTF">2022-04-18T10:07:21Z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eyJoZGlkIjoiYzhlZjE2NzA4YjlmNzdkZWI0ZGJiOTI3NDc0M2Q1NDYifQ==</vt:lpwstr>
  </property>
  <property fmtid="{D5CDD505-2E9C-101B-9397-08002B2CF9AE}" pid="3" name="KSOProductBuildVer">
    <vt:lpwstr>2052-11.1.0.11636</vt:lpwstr>
  </property>
  <property fmtid="{D5CDD505-2E9C-101B-9397-08002B2CF9AE}" pid="4" name="ICV">
    <vt:lpwstr>71D505CDB3EC4561834E0B5B23DF4745</vt:lpwstr>
  </property>
</Properties>
</file>