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16,742,478.23份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产品9W210010自成立日以来，累计净值增长率为0.8810%，年化累计净值增长率为0.7999%。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0.99460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1.00881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16,652,067.19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1,513,755.00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1,501,725.00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1,458,861.20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1,355,697.00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1,108,513.96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798,224.00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713,174.00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