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兴银理财和鑫财富悦享1号K款净值型理财产品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和鑫财富悦享1号K款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9B21421A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产品9B21421A自成立日以来，累计净值增长率为2.8440%，年化累计净值增长率为4.4744%。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514,219,562.29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514,219,562.29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资深固定收益投资经理，累计管理规模700亿。现任兴银理财专户投资部高级投资经理，拟任短债开放式产品投资经理。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30,643,110.00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30,210,780.00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30,067,230.00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30,050,010.00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29,956,890.00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20,362,980.00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051010100101242375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兴银理财和鑫财富悦享1号K款净值型理财产品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