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兴银理财金雪球稳利1号C款净值型理财产品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兴银理财金雪球稳利1号C款净值型理财产品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13,358,929,816.30份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产品9C212003自成立日以来，累计净值增长率为4.4160%，年化累计净值增长率为3.5270%。</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1.04416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1.04416</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13,948,901,847.88</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4年固定收益投资经验，历任兴银理财固定收益部投资助理、投资经理，负责多款上市企业专户产品及企金公募月月盈产品管理，管理规模近300亿，产品业绩优异，擅长利率债交易及信用债套利挖掘，投资风格灵活，专注于多策略获取组合超额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2022年一季度债券市场先涨后跌，走出一轮过山车行情。2022年1月中旬，央行降息落地，且明确表态将维持宽松的货币政策，利率大幅下行，各期限品种利率均创疫情以来新低。</w:t>
              <w:br/>
              <w:t xml:space="preserve">    2022年2月10日公布的一月份社融数据大超预期，引发至债券市场迅速反转。一方面各地陆续出台地产放松政策等稳增长措施，引发宽信用预期不断发酵；另一方面全球主要国家陆续进入加息缩表周期，同时俄乌危机推动油价在内的大宗商品大涨推高通胀预期，股市暴跌后固收+等产品抛盘引发流动性危机后股债双杀。2月至3月中旬，债券收益率从最低点一路单边上行，二级资本债等品种最高上行50bp，为2020年以来单月最大跌幅。</w:t>
              <w:br/>
              <w:t xml:space="preserve">    展望二季度，我们认为国内债券市场交易主线仍然是宽货币和宽信用的博弈。短期内市场交易经济不及预期，宽货币和疫情发酵的情绪高涨。但从中长期维度看，政策稳增长和宽信用的力度大概率只会进一步强化，直到需求明显恢复，因此，预计后续经济数据层面仍可能明显反复，社融预计仍将震荡回升，长债尚难言趋势性空间打开，我们对市场保持中性观点。但经过前期的调整，部分债券品种已经有了一定安全边际。特别是在固收+等产品抛售压力缓解的背景下，前期超调的资本债品种存在一定挖掘价值。</w:t>
              <w:br/>
              <w:t xml:space="preserve">    二、2022年二季度投资策略</w:t>
              <w:br/>
              <w:t xml:space="preserve">    交易策略来看，策略上产品将继续保持稳健的投资风格：</w:t>
              <w:br/>
              <w:t xml:space="preserve">    1、发挥票息策略优势，同时维持中性偏积极的杠杆水平与中性的组合久期。</w:t>
              <w:br/>
              <w:t xml:space="preserve">    2、关注固收+等产品赎回压力的边际变化带来的抛售性机会。</w:t>
              <w:br/>
              <w:t xml:space="preserve">    3、把握行业利差、区域利差变化的收益挖掘机会和利率反弹时的配置机会。</w:t>
              <w:br/>
              <w:t xml:space="preserve">    4、关注货币政策边际变化、稳增长措施落地、新冠疫情再次冲击带来的交易机会。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工商银行杭州分行定期存款20220110002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1,799,858,229.70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1,544,256,000.00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1,329,957,440.00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999,960,000.00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21CSFD181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999,791,000.00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964,975,972.15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799,852,000.00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工商银行杭州分行定期存款20220322001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中国工商银行毕节分行大额存单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499,885,500.00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中国工商银行金昌分行大额存单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499,738,000.00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21鲁能源SCP006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19鄂州城投MTN002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21光大集团SCP021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龙岩文旅汇金发展集团有限公司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龙岩文旅汇金发展集团有限公司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051010100101029751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兴银理财金雪球稳利1号C款</w:t>
                        </w:r>
                      </w:p>
                    </w:tc>
                  </w:tr>
                </w:tbl>
                <w:p>
                  <w:pPr>
                    <w:pStyle w:val="EMPTY_CELL_STYLE"/>
                  </w:pPr>
                </w:p>
              </w:tc>
            </w:tr>
          </w:tbl>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