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兴银理财金雪球稳利年年兴B款净值型理财产品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863,829,818.28份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产品9C212120自成立日以来，累计净值增长率为1.9360%，年化累计净值增长率为4.3352%。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1.01936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1.01936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880,555,053.46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企金公募月月盈产品管理，管理规模近300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2021网商银行0177（网商鸿微10期A1）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419,947,500.00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21中交租赁MTN001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50,202,500.00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40,605,320.00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39,571,720.00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30,365,010.00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G21长兴1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30,207,570.00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21蓉金01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30,115,290.00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20,382,460.00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051010100101231921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