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兴银理财添利新私享净值型理财产品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兴银理财添利新私享净值型理财产品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9B310006</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35,053,303,826.58份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报告期内，9B310006七日年化收益率均值2.9561%。同期业绩比较基准如下：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0.7809</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2.8770%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35,053,303,826.58</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bookmarkStart w:id="10" w:name="_GoBack"/>
            <w:bookmarkEnd w:id="10"/>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4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w:t>
            </w:r>
            <w:r>
              <w:rPr>
                <w:rFonts w:ascii="宋体" w:hAnsi="宋体" w:eastAsia="宋体" w:cs="宋体"/>
                <w:color w:val="000000"/>
                <w:sz w:val="21"/>
              </w:rPr>
              <w:br w:type="textWrapping"/>
            </w:r>
            <w:r>
              <w:rPr>
                <w:rFonts w:ascii="宋体" w:hAnsi="宋体" w:eastAsia="宋体" w:cs="宋体"/>
                <w:color w:val="000000"/>
                <w:sz w:val="21"/>
              </w:rPr>
              <w:t xml:space="preserve">    报告期内，本产品规模保持平稳，根据我们对市场的预判一季度收益率大概率震荡走势，在收益率回升期积极把握市场高点的买入机会，通过拉长久期、选择性价比较高的高等级信用债和同业信用类资产，较好地抓住了资产</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配置的时间窗口，保证了产品组合收益率的市场竞争力。添利新私享整体收益率保持在2.85%左右，杠杆率不高，资产结构稳健，对私行客户有很好的吸引力。</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tab/>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r>
            <w:r>
              <w:rPr>
                <w:rFonts w:ascii="宋体" w:hAnsi="宋体" w:eastAsia="宋体" w:cs="宋体"/>
                <w:color w:val="000000"/>
                <w:sz w:val="21"/>
              </w:rPr>
              <w:br w:type="textWrapping"/>
            </w:r>
            <w:r>
              <w:rPr>
                <w:rFonts w:ascii="宋体" w:hAnsi="宋体" w:eastAsia="宋体" w:cs="宋体"/>
                <w:color w:val="000000"/>
                <w:sz w:val="21"/>
              </w:rP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9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21平安银行CD268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1,129,580,073.17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21杭州银行CD059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998,529,141.85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21恒丰银行CD274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644,199,193.55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589,883,120.18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Z存放同业（线上）20210414001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17象屿MTN002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19华润MTN005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17中节能MTN001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17合建投MTN002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18京国资MTN001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19川高速MTN001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20太不锈MTN001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21厦港务SCP009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21闽漳龙SCP005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20鲁能源MTN002A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21金坛投资CP003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7" w:name="JR_PAGE_ANCHOR_0_8"/>
            <w:bookmarkEnd w:id="7"/>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17陕西能源MTN003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18徐新国资MTN001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18滁州城投MTN001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19金桥开发MTN001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8" w:name="JR_PAGE_ANCHOR_0_9"/>
            <w:bookmarkEnd w:id="8"/>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051010100101076812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兴银理财添利新私享净值型理财产品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64516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4613</Words>
  <Characters>6993</Characters>
  <TotalTime>0</TotalTime>
  <ScaleCrop>false</ScaleCrop>
  <LinksUpToDate>false</LinksUpToDate>
  <CharactersWithSpaces>7129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2022-04-18T08:26:03Z</dcterms:created>
  <dc:creator>Administrator</dc:creator>
  <cp:lastModifiedBy>Administrator</cp:lastModifiedBy>
  <dcterms:modified xsi:type="dcterms:W3CDTF">2022-04-18T08:26:35Z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252C5BBAC5C142F98F6CDF8E11A449DA</vt:lpwstr>
  </property>
</Properties>
</file>