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30,084,467,733.11份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22,667,395,544.96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7,417,072,188.15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200"/>
        <w:gridCol w:w="100"/>
        <w:gridCol w:w="20"/>
        <w:gridCol w:w="1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0"/>
        </w:trPr>
        <w:tc>
          <w:tcPr>
     </w:tcPr>
          <w:p>
            <w:pPr>
              <w:pStyle w:val="EMPTY_CELL_STYLE"/>
            </w:pPr>
          </w:p>
        </w:tc>
        <w:tc>
          <w:tcPr>
            <w:gridSpan w:val="6"/>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报告期内，9B310061七日年化收益率均值3.0750%，9B31006B七日年化收益率均值3.0751%。同期业绩比较基准如下：</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30,084,467,733.11</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22,667,395,544.96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7,417,072,188.15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br/>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br/>
              <w:br/>
              <w:t xml:space="preserve">二 前期运作回顾</w:t>
              <w:br/>
              <w:t xml:space="preserve">     报告期内，本产品始终将保证流动性安全和防范信用风险作为第一要务，通过稳健的投资风格实现相对稳定的收益。资产构建上积极把握流动性边际变化的建仓机会，一二月份利率下行阶段以买入短券+持币等待为主，在三月中上旬着重配置了部分中高等级信用债、存放同业和同业存单资产，组合整体以利率债、信用债和同业存单为主，兼顾流动性和收益性；负债端由于一季度资产到期较多，主动降低了杠杆水平。作为一款面向新客的现金产品，报告期内本产品收益率水平较同类产品保持了对新客的吸引力，整体规模稳中有升。</w:t>
              <w:br/>
              <w:t xml:space="preserve">三 后期投资策略	</w:t>
              <w:br/>
              <w:t xml:space="preserve">    下阶段本产品依然会保持安全性和流动性优先、兼顾收益性的稳健投资策略，深入研究分析债券市场收益率的变化趋势，综合考量各投资品种的风险收益特征，在此基础上制定科学有效的投资策略。</w:t>
              <w:b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b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21成都农商银行CD110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996,005,158.55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830,209,154.28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591,028,129.30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22横店CP001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19外滩PPN002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19泸州窖MTN002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20江门建设MTN002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22恒邦冶炼SCP001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21国开绿债01清发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c>
          <w:tcPr>
     </w:tcPr>
          <w:p>
            <w:pPr>
              <w:pStyle w:val="EMPTY_CELL_STYLE"/>
            </w:pPr>
          </w:p>
        </w:tc>
      </w:tr>
      <w:tr>
        <w:trPr>
          <w:trHeight w:hRule="exact" w:val="9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