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兴银理财兴承恒享5号开放式净值型理财产品2022年第一季度报告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兴银理财兴承恒享5号开放式净值型理财产品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兴银理财兴承恒享5号开放式净值型理财产品2022年第一季度报告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兴银理财兴承恒享5号开放式净值型理财产品2022年第一季度报告</w:t>
            </w: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兴银理财兴承恒享5号开放式净值型理财产品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9D210050</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Z7002021000183</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2,323,733,439.04份</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eastAsia="宋体"/>
                <w:lang w:val="en-US" w:eastAsia="zh-CN"/>
              </w:rPr>
            </w:pPr>
            <w:r>
              <w:rPr>
                <w:rFonts w:ascii="宋体" w:hAnsi="宋体" w:eastAsia="宋体" w:cs="宋体"/>
                <w:color w:val="000000"/>
                <w:sz w:val="21"/>
              </w:rPr>
              <w:t>业绩</w:t>
            </w:r>
            <w:r>
              <w:rPr>
                <w:rFonts w:hint="eastAsia" w:ascii="宋体" w:hAnsi="宋体" w:eastAsia="宋体" w:cs="宋体"/>
                <w:color w:val="000000"/>
                <w:sz w:val="21"/>
                <w:lang w:val="en-US" w:eastAsia="zh-CN"/>
              </w:rPr>
              <w:t>报酬计提起点</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6.0%</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3000" w:type="dxa"/>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3600" w:type="dxa"/>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4100" w:type="dxa"/>
                    <w:tblInd w:w="0" w:type="dxa"/>
                    <w:tblLayout w:type="fixed"/>
                    <w:tblCellMar>
                      <w:top w:w="0" w:type="dxa"/>
                      <w:left w:w="10" w:type="dxa"/>
                      <w:bottom w:w="0" w:type="dxa"/>
                      <w:right w:w="10" w:type="dxa"/>
                    </w:tblCellMar>
                  </w:tblPr>
                  <w:tblGrid>
                    <w:gridCol w:w="4100"/>
                  </w:tblGrid>
                  <w:tr>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兴银兴承恒享5号开放式A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600" w:type="dxa"/>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9D21005A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4100" w:type="dxa"/>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837,997,225.45</w:t>
                        </w:r>
                      </w:p>
                    </w:tc>
                  </w:tr>
                </w:tbl>
                <w:p>
                  <w:pPr>
                    <w:pStyle w:val="4"/>
                  </w:pPr>
                </w:p>
              </w:tc>
            </w:tr>
            <w:tr>
              <w:tblPrEx>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兴银兴承恒享5号开放式B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3600" w:type="dxa"/>
                    <w:tblInd w:w="0" w:type="dxa"/>
                    <w:tblLayout w:type="fixed"/>
                    <w:tblCellMar>
                      <w:top w:w="0" w:type="dxa"/>
                      <w:left w:w="10" w:type="dxa"/>
                      <w:bottom w:w="0" w:type="dxa"/>
                      <w:right w:w="10" w:type="dxa"/>
                    </w:tblCellMar>
                  </w:tblPr>
                  <w:tblGrid>
                    <w:gridCol w:w="3600"/>
                  </w:tblGrid>
                  <w:tr>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9D21005B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4100" w:type="dxa"/>
                    <w:tblInd w:w="0" w:type="dxa"/>
                    <w:tblLayout w:type="fixed"/>
                    <w:tblCellMar>
                      <w:top w:w="0" w:type="dxa"/>
                      <w:left w:w="10" w:type="dxa"/>
                      <w:bottom w:w="0" w:type="dxa"/>
                      <w:right w:w="10" w:type="dxa"/>
                    </w:tblCellMar>
                  </w:tblPr>
                  <w:tblGrid>
                    <w:gridCol w:w="4100"/>
                  </w:tblGrid>
                  <w:tr>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1,485,736,213.59</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兴银理财兴承恒享5号开放式净值型理财产品2022年第一季度报告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产品9D21005A自成立日以来，累计净值增长率为-2.8200%，年化累计净值增长率为-10.2930%。</w:t>
            </w:r>
            <w:r>
              <w:rPr>
                <w:rFonts w:ascii="宋体" w:hAnsi="宋体" w:eastAsia="宋体" w:cs="宋体"/>
                <w:color w:val="000000"/>
                <w:sz w:val="21"/>
              </w:rPr>
              <w:br w:type="textWrapping"/>
            </w:r>
            <w:r>
              <w:rPr>
                <w:rFonts w:ascii="宋体" w:hAnsi="宋体" w:eastAsia="宋体" w:cs="宋体"/>
                <w:color w:val="000000"/>
                <w:sz w:val="21"/>
              </w:rPr>
              <w:t>产品9D21005B自成立日以来，累计净值增长率为-2.7840%，年化累计净值增长率为-10.1616%。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9D210050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0.97203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0.97203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2,258,733,996.99</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9D21005A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0.97180</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0.97180</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814,362,777.19</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9D21005B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000" w:type="dxa"/>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400" w:type="dxa"/>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0.97216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0.97216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300" w:type="dxa"/>
                    <w:tblInd w:w="0" w:type="dxa"/>
                    <w:tblLayout w:type="fixed"/>
                    <w:tblCellMar>
                      <w:top w:w="0" w:type="dxa"/>
                      <w:left w:w="10" w:type="dxa"/>
                      <w:bottom w:w="0" w:type="dxa"/>
                      <w:right w:w="10" w:type="dxa"/>
                    </w:tblCellMar>
                  </w:tblPr>
                  <w:tblGrid>
                    <w:gridCol w:w="2300"/>
                  </w:tblGrid>
                  <w:tr>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1,444,371,219.80</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56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吴为先生，西南财经大学数学、经济学双学士，新南威尔士大学精算硕士，FRM。19年加入兴银理财，曾任兴业研究基金研究员，6年金融从业经验。现任兴银理财股票与量化投资部投资经理。</w:t>
            </w:r>
            <w:r>
              <w:rPr>
                <w:rFonts w:ascii="宋体" w:hAnsi="宋体" w:eastAsia="宋体" w:cs="宋体"/>
                <w:color w:val="000000"/>
                <w:sz w:val="21"/>
              </w:rPr>
              <w:br w:type="textWrapping"/>
            </w: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bookmarkStart w:id="7" w:name="_GoBack"/>
            <w:bookmarkEnd w:id="7"/>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42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固收方面，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权益方面，22年国内经济持续承压，地产和疫情反复影响经济的需求预期，民营房企流动性危机尚未解除，地产基本面数据仍较差；本轮疫情对经济影响可能仍持续月余，预期拐点也将临近。预计4月稳增长相关政策包括税、费、基建、地产限购限贷政策及其他产业政策等将加码，疫情修复及防控政策变化对消费恢复影响较大。</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兴银理财兴承恒享5号开放式净值型理财产品2022年第一季度报告</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726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全球方面，油价上涨推动通胀预期飙升导致美债收益率持续上行，美联储持续加息的预期及必要性不断升高。后续若地缘冲突缓和、油价下跌，利率上升风险将下降，通胀、滞涨预期及风险将下降。</w:t>
            </w:r>
            <w:r>
              <w:rPr>
                <w:rFonts w:ascii="宋体" w:hAnsi="宋体" w:eastAsia="宋体" w:cs="宋体"/>
                <w:color w:val="000000"/>
                <w:sz w:val="21"/>
              </w:rPr>
              <w:br w:type="textWrapping"/>
            </w:r>
            <w:r>
              <w:rPr>
                <w:rFonts w:ascii="宋体" w:hAnsi="宋体" w:eastAsia="宋体" w:cs="宋体"/>
                <w:color w:val="000000"/>
                <w:sz w:val="21"/>
              </w:rPr>
              <w:t xml:space="preserve">    结合去年12月经济会议以及3月金融委表态，稳增长和稳金融市场都是今年政府工作重点，经济压力持续的情况下，预期政策托底空间仍较大，多措并举可期。</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信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 xml:space="preserve">    权益方面，资产方面商品中基本面支撑的油价迅速上涨后高位震荡。资本市场，尤其基金重仓股在俄乌冲突以来大幅调整，滞涨风险迅速上升。后续上游成本上升风险缓释或下游需求释，资本市场有明显表现机会。</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固收方面，展望二季度，产品将继续保持稳健的投资风格。1、发挥票息策略优势，同时维持中性偏谨慎的杠杆水平与组合久期。2、把握住利率反弹时的配置机会，关注市场波动带来的交易机会。</w:t>
            </w:r>
            <w:r>
              <w:rPr>
                <w:rFonts w:ascii="宋体" w:hAnsi="宋体" w:eastAsia="宋体" w:cs="宋体"/>
                <w:color w:val="000000"/>
                <w:sz w:val="21"/>
              </w:rPr>
              <w:br w:type="textWrapping"/>
            </w:r>
            <w:r>
              <w:rPr>
                <w:rFonts w:ascii="宋体" w:hAnsi="宋体" w:eastAsia="宋体" w:cs="宋体"/>
                <w:color w:val="000000"/>
                <w:sz w:val="21"/>
              </w:rPr>
              <w:t xml:space="preserve">    权益方面，站在当下看全年，估值、基本面角度看，股票资产性价比较高，稳增长板块年初以来表现较强，预期后续受益于政策发力，其中资源端追涨较难参与；经济拐点出现后，基本面持续强劲的成长板块受益，但全年看风险偏好下降压力持续存在，风格偏好格局稳定、盈利确定的权益类资产。</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58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8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3.88</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49.40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49.40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1.91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3.25</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21.85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21.85</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21.62</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21.62</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3.30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9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兴银理财兴承恒享5号开放式净值型理财产品2022年第一季度报告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5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Z京-同业借款20220310001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22.14</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21农发清发02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120,822,000.00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5.35</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21兴业C1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81,126,160.00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3.59</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21河钢集MTN003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61,211,520.00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20山煤PPN004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51,855,800.00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2.30</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20滨江城建MTN001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50,677,750.00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2.24</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20天轨04</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50,071,900.00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2.22</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光大优1（光大银行优先股）</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44,198,132.00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1.96</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兴业财富-兴合集合资产管理计划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43,586,358.64</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1.93</w:t>
                        </w:r>
                      </w:p>
                    </w:tc>
                  </w:tr>
                </w:tbl>
                <w:p>
                  <w:pPr>
                    <w:pStyle w:val="4"/>
                  </w:pPr>
                </w:p>
              </w:tc>
            </w:tr>
            <w:tr>
              <w:tblPrEx>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4000" w:type="dxa"/>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21十堰国投MTN001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600" w:type="dxa"/>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40,531,120.00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1.79</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22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兴银理财兴承恒享5号开放式净值型理财产品2022年第一季度报告</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2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9D210050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21新海连MTN002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9D210050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21苏沙钢MTN002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9D210050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20武夷投资MTN002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9D210050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21东台城投MTN002</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9D210050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21伊犁财通MTN001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780"/>
                    <w:gridCol w:w="20"/>
                  </w:tblGrid>
                  <w:tr>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9D210050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21江夏城投MTN001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2800" w:type="dxa"/>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3100" w:type="dxa"/>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600" w:type="dxa"/>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900" w:type="dxa"/>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680"/>
                    <w:gridCol w:w="20"/>
                  </w:tblGrid>
                  <w:tr>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1600" w:type="dxa"/>
                    <w:tblInd w:w="0" w:type="dxa"/>
                    <w:tblLayout w:type="fixed"/>
                    <w:tblCellMar>
                      <w:top w:w="0" w:type="dxa"/>
                      <w:left w:w="10" w:type="dxa"/>
                      <w:bottom w:w="0" w:type="dxa"/>
                      <w:right w:w="10" w:type="dxa"/>
                    </w:tblCellMar>
                  </w:tblPr>
                  <w:tblGrid>
                    <w:gridCol w:w="1580"/>
                    <w:gridCol w:w="20"/>
                  </w:tblGrid>
                  <w:tr>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1800" w:type="dxa"/>
                    <w:tblInd w:w="0" w:type="dxa"/>
                    <w:tblLayout w:type="fixed"/>
                    <w:tblCellMar>
                      <w:top w:w="0" w:type="dxa"/>
                      <w:left w:w="10" w:type="dxa"/>
                      <w:bottom w:w="0" w:type="dxa"/>
                      <w:right w:w="10" w:type="dxa"/>
                    </w:tblCellMar>
                  </w:tblPr>
                  <w:tblGrid>
                    <w:gridCol w:w="1800"/>
                  </w:tblGrid>
                  <w:tr>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2900" w:type="dxa"/>
                    <w:tblInd w:w="0" w:type="dxa"/>
                    <w:tblLayout w:type="fixed"/>
                    <w:tblCellMar>
                      <w:top w:w="0" w:type="dxa"/>
                      <w:left w:w="10" w:type="dxa"/>
                      <w:bottom w:w="0" w:type="dxa"/>
                      <w:right w:w="10" w:type="dxa"/>
                    </w:tblCellMar>
                  </w:tblPr>
                  <w:tblGrid>
                    <w:gridCol w:w="2900"/>
                  </w:tblGrid>
                  <w:tr>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700"/>
            </w:tblGrid>
            <w:tr>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680"/>
                    <w:gridCol w:w="20"/>
                  </w:tblGrid>
                  <w:tr>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2"/>
              <w:tblW w:w="10700" w:type="dxa"/>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4500" w:type="dxa"/>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1000" w:type="dxa"/>
                    <w:tblInd w:w="0" w:type="dxa"/>
                    <w:tblLayout w:type="fixed"/>
                    <w:tblCellMar>
                      <w:top w:w="0" w:type="dxa"/>
                      <w:left w:w="10" w:type="dxa"/>
                      <w:bottom w:w="0" w:type="dxa"/>
                      <w:right w:w="10" w:type="dxa"/>
                    </w:tblCellMar>
                  </w:tblPr>
                  <w:tblGrid>
                    <w:gridCol w:w="1000"/>
                  </w:tblGrid>
                  <w:tr>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2200" w:type="dxa"/>
                    <w:tblInd w:w="0" w:type="dxa"/>
                    <w:tblLayout w:type="fixed"/>
                    <w:tblCellMar>
                      <w:top w:w="0" w:type="dxa"/>
                      <w:left w:w="10" w:type="dxa"/>
                      <w:bottom w:w="0" w:type="dxa"/>
                      <w:right w:w="10" w:type="dxa"/>
                    </w:tblCellMar>
                  </w:tblPr>
                  <w:tblGrid>
                    <w:gridCol w:w="2200"/>
                  </w:tblGrid>
                  <w:tr>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3000" w:type="dxa"/>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051010100101251178</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4500" w:type="dxa"/>
                    <w:tblInd w:w="0" w:type="dxa"/>
                    <w:tblLayout w:type="fixed"/>
                    <w:tblCellMar>
                      <w:top w:w="0" w:type="dxa"/>
                      <w:left w:w="10" w:type="dxa"/>
                      <w:bottom w:w="0" w:type="dxa"/>
                      <w:right w:w="10" w:type="dxa"/>
                    </w:tblCellMar>
                  </w:tblPr>
                  <w:tblGrid>
                    <w:gridCol w:w="4500"/>
                  </w:tblGrid>
                  <w:tr>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兴银理财兴承恒享5号开放式净值型理财产品</w:t>
                        </w:r>
                      </w:p>
                    </w:tc>
                  </w:tr>
                </w:tbl>
                <w:p>
                  <w:pPr>
                    <w:pStyle w:val="4"/>
                  </w:pPr>
                </w:p>
              </w:tc>
            </w:tr>
          </w:tbl>
          <w:p>
            <w:pPr>
              <w:pStyle w:val="4"/>
            </w:pPr>
          </w:p>
        </w:tc>
        <w:tc>
          <w:tcPr>
            <w:tcW w:w="1" w:type="dxa"/>
          </w:tcPr>
          <w:p>
            <w:pPr>
              <w:pStyle w:val="4"/>
            </w:pPr>
          </w:p>
        </w:tc>
      </w:tr>
      <w:tr>
        <w:tblPrEx>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248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2C3E2FD8"/>
    <w:rsid w:val="46134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3550</Words>
  <Characters>4338</Characters>
  <TotalTime>1</TotalTime>
  <ScaleCrop>false</ScaleCrop>
  <LinksUpToDate>false</LinksUpToDate>
  <CharactersWithSpaces>4471</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2022-04-18T07:17:00Z</dcterms:created>
  <dc:creator>016709</dc:creator>
  <cp:lastModifiedBy>Administrator</cp:lastModifiedBy>
  <dcterms:modified xsi:type="dcterms:W3CDTF">2022-04-18T08:47:48Z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F3427AFFB5FA4E45B5DCE0B714D3F105</vt:lpwstr>
  </property>
</Properties>
</file>