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1,756,119,991.75份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兴银兴承恒享新盈2号A（上海专属）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1,756,119,991.75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产品9D31002A自成立日以来，累计净值增长率为0.9430%，年化累计净值增长率为3.0193%。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1,772,685,490.37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1,772,685,490.37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97,466,400.00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21广发银行CD300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97,462,000.00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69,594,280.00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60,645,600.00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17重汽01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大众5G2A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21首旅MTN005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50,529,700.00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