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480"/>
        <w:gridCol w:w="100"/>
        <w:gridCol w:w="100"/>
        <w:gridCol w:w="1"/>
        <w:gridCol w:w="19"/>
        <w:gridCol w:w="20"/>
        <w:gridCol w:w="1"/>
        <w:gridCol w:w="119"/>
        <w:gridCol w:w="1"/>
        <w:gridCol w:w="139"/>
        <w:gridCol w:w="1"/>
      </w:tblGrid>
      <w:tr>
        <w:tblPrEx>
          <w:tblCellMar>
            <w:top w:w="0" w:type="dxa"/>
            <w:left w:w="10" w:type="dxa"/>
            <w:bottom w:w="0" w:type="dxa"/>
            <w:right w:w="10" w:type="dxa"/>
          </w:tblCellMar>
        </w:tblPrEx>
        <w:trPr>
          <w:gridAfter w:val="7"/>
          <w:wAfter w:w="30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兴银理财日日新2号净值型理财产品2022年第一季度报告</w:t>
            </w: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0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兴银理财日日新2号净值型理财产品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7"/>
          <w:wAfter w:w="30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兴银理财日日新2号净值型理财产品2022年第一季度报告</w:t>
            </w: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0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6840" w:hRule="atLeast"/>
        </w:trPr>
        <w:tc>
          <w:p>
            <w:pPr>
              <w:pStyle w:val="4"/>
            </w:pPr>
          </w:p>
        </w:tc>
        <w:tc>
          <w:tcPr>
            <w:gridSpan w:val="3"/>
          </w:tcPr>
          <w:p>
            <w:pPr>
              <w:pStyle w:val="4"/>
            </w:pPr>
          </w:p>
        </w:tc>
        <w:tc>
          <w:tcPr>
            <w:gridSpan w:val="10"/>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兴银理财日日新2号净值型理财产品2022年第一季度报告</w:t>
            </w: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0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7"/>
          <w:wAfter w:w="30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7"/>
          <w:wAfter w:w="30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7"/>
          <w:wAfter w:w="30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兴银理财日日新2号净值型理财产品</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9B310100</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Z7002021000126</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7,977,818,358.74份</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 + 浮动基数0.00%</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7"/>
          <w:wAfter w:w="30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日日新2号A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9B31010A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7,977,818,358.74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wAfter w:w="300" w:type="dxa"/>
          <w:trHeight w:val="3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7"/>
          <w:wAfter w:w="300" w:type="dxa"/>
          <w:trHeight w:val="3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15"/>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报告期内，9B31010A七日年化收益率均值2.9422%。同期业绩比较基准如下：</w:t>
            </w:r>
          </w:p>
        </w:tc>
        <w:tc>
          <w:p>
            <w:pPr>
              <w:pStyle w:val="4"/>
            </w:pPr>
          </w:p>
        </w:tc>
      </w:tr>
      <w:tr>
        <w:tblPrEx>
          <w:tblCellMar>
            <w:top w:w="0" w:type="dxa"/>
            <w:left w:w="10" w:type="dxa"/>
            <w:bottom w:w="0" w:type="dxa"/>
            <w:right w:w="10" w:type="dxa"/>
          </w:tblCellMar>
        </w:tblPrEx>
        <w:trPr>
          <w:gridAfter w:val="7"/>
          <w:wAfter w:w="300" w:type="dxa"/>
          <w:trHeight w:val="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0" w:hRule="atLeast"/>
        </w:trPr>
        <w:tc>
          <w:p>
            <w:pPr>
              <w:pStyle w:val="4"/>
              <w:pageBreakBefore/>
            </w:pPr>
            <w:bookmarkStart w:id="3" w:name="JR_PAGE_ANCHOR_0_4"/>
            <w:bookmarkEnd w:id="3"/>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兴银理财日日新2号净值型理财产品2022年第一季度报告</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12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9B31010A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2022-01-01至2022-03-31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20"/>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r>
      <w:tr>
        <w:tblPrEx>
          <w:tblCellMar>
            <w:top w:w="0" w:type="dxa"/>
            <w:left w:w="10" w:type="dxa"/>
            <w:bottom w:w="0" w:type="dxa"/>
            <w:right w:w="10" w:type="dxa"/>
          </w:tblCellMar>
        </w:tblPrEx>
        <w:trPr>
          <w:gridAfter w:val="2"/>
          <w:wAfter w:w="140" w:type="dxa"/>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0.7875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7,977,818,358.74</w:t>
                        </w:r>
                      </w:p>
                    </w:tc>
                  </w:tr>
                </w:tbl>
                <w:p>
                  <w:pPr>
                    <w:pStyle w:val="4"/>
                  </w:pPr>
                </w:p>
              </w:tc>
            </w:tr>
          </w:tbl>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0.7875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7,977,818,358.74</w:t>
                        </w:r>
                      </w:p>
                    </w:tc>
                  </w:tr>
                </w:tbl>
                <w:p>
                  <w:pPr>
                    <w:pStyle w:val="4"/>
                  </w:pPr>
                </w:p>
              </w:tc>
            </w:tr>
          </w:tbl>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9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和“兴银理财日日新2号净值型理财产品”投资经理。</w:t>
            </w: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bookmarkStart w:id="7" w:name="_GoBack"/>
            <w:bookmarkEnd w:id="7"/>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1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73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2022年第一季度，债券市场收益率先下后上，1月中旬央行下调MLF和逆回购利率10bp，宽货币先行带动十年国债收益率下行至1月下旬低点2.68%，随后1月社融及贷款数据超预期叠加美国通胀加剧，美联储加息预期升温，十年国债收益率触底回升至2.80%中枢波动。2月下旬至3月，市场经历着多空力量的来回拉扯，在权益市场调整诱发广义基金赎回、部分城市首付款比例降低引发宽信用担忧、海外美债收益率上行，以及2月社融增速低于预期、国内疫情多点散发、俄乌冲突带来的地缘政治风险等多重因素影响下，十年国债收益率在2.75%-2.85%区间维持震荡走势。期限利差方面，由于货币政策呈偏松格局，短端收益率反弹有限，长端反弹较大，期限利差普遍走阔。</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 xml:space="preserve">    展望二季度，国内外形势更趋严峻复杂，国内经济“三重压力”背景下稳增长政策的进一步落地和数据验证将成为博弈重点，尤其关注部分省市疫情散点爆发对宽信用的短期扰动和多地房地产政策边际缓和的落地效果。海外方面，美联储加息缩表节奏预期和地缘政治推升海外通胀中枢等因素对国内政策节奏的影响值得关注。鉴于目前宽信用效果欠佳，金稳会表态“货币政策要主动应对”，二季度货币政策维持偏宽松的确定性较大。总体来看，市场对二季度短端维持震荡的预期较为一致，关注基本面、政策面和投资者行为边际变化带来的投资机会。</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报告期内，本产品始终将保持流动性安全和防范信用风险作为第一要务，在此基础上通过稳健的投资风格实现相对稳定的收益。</w:t>
            </w:r>
            <w:r>
              <w:rPr>
                <w:rFonts w:ascii="宋体" w:hAnsi="宋体" w:eastAsia="宋体" w:cs="宋体"/>
                <w:color w:val="000000"/>
                <w:sz w:val="21"/>
              </w:rPr>
              <w:br w:type="textWrapping"/>
            </w:r>
            <w:r>
              <w:rPr>
                <w:rFonts w:ascii="宋体" w:hAnsi="宋体" w:eastAsia="宋体" w:cs="宋体"/>
                <w:color w:val="000000"/>
                <w:sz w:val="21"/>
              </w:rPr>
              <w:t xml:space="preserve">    报告期内，本产品规模保持稳定，根据我们对市场的预判一季度收益率大概率震荡走势，因此投资策略上以资产自然到期对冲客户赎回和正回购到期，降低产品杠杆率，同时置换高成本杠杆；在收益率回升期积极把握市场高点的买入机会，通过拉长久期、选择性价比较高的高等级信用债和同业信用类资产，较好地抓住了资产配置的时间窗口，保证了产品组合收益率的市场竞争力。日日新2号总体规模呈现稳定，组合久期0.8年，日均年化收益率2.92%。</w:t>
            </w:r>
            <w:r>
              <w:rPr>
                <w:rFonts w:ascii="宋体" w:hAnsi="宋体" w:eastAsia="宋体" w:cs="宋体"/>
                <w:color w:val="000000"/>
                <w:sz w:val="21"/>
              </w:rPr>
              <w:br w:type="textWrapping"/>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三 后期投资策略</w:t>
            </w:r>
            <w:r>
              <w:rPr>
                <w:rFonts w:ascii="宋体" w:hAnsi="宋体" w:eastAsia="宋体" w:cs="宋体"/>
                <w:color w:val="000000"/>
                <w:sz w:val="21"/>
              </w:rPr>
              <w:tab/>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从3月发布的宏观数据和中高频数据对比来看，国内的基本面仍存在结构性矛盾，经济复苏有一定阻碍。新一轮国内多地散发疫情的冲击，也给社会经济带来一定的负面影响。随着疫情平复后补偿性增长的释放，叠加稳增长相关政策的发力，债券市场收益率可能会面临调整压力，尤其是宽信用政策带来的信用利差走阔。对于摊余成本估值的现金管理产品，市场利率上行时期是较好的投资窗口期，我们会结合产品实际情况、把握建仓时机，提高产品组合静态收益。</w:t>
            </w:r>
            <w:r>
              <w:rPr>
                <w:rFonts w:ascii="宋体" w:hAnsi="宋体" w:eastAsia="宋体" w:cs="宋体"/>
                <w:color w:val="000000"/>
                <w:sz w:val="21"/>
              </w:rPr>
              <w:br w:type="textWrapping"/>
            </w:r>
            <w:r>
              <w:rPr>
                <w:rFonts w:ascii="宋体" w:hAnsi="宋体" w:eastAsia="宋体" w:cs="宋体"/>
                <w:color w:val="000000"/>
                <w:sz w:val="21"/>
              </w:rPr>
              <w:t xml:space="preserve">    流动性管理方面，货币政策仍然会保持宽松，产品流动性无忧，资产组合中维持一定的杠杆比例增厚产品收益。半年末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gridAfter w:val="4"/>
          <w:wAfter w:w="260" w:type="dxa"/>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c>
          <w:p>
            <w:pPr>
              <w:pStyle w:val="4"/>
            </w:pPr>
          </w:p>
        </w:tc>
      </w:tr>
      <w:tr>
        <w:tblPrEx>
          <w:tblCellMar>
            <w:top w:w="0" w:type="dxa"/>
            <w:left w:w="10" w:type="dxa"/>
            <w:bottom w:w="0" w:type="dxa"/>
            <w:right w:w="10" w:type="dxa"/>
          </w:tblCellMar>
        </w:tblPrEx>
        <w:trPr>
          <w:gridAfter w:val="4"/>
          <w:wAfter w:w="260" w:type="dxa"/>
          <w:trHeight w:val="258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c>
          <w:p>
            <w:pPr>
              <w:pStyle w:val="4"/>
            </w:pPr>
          </w:p>
        </w:tc>
      </w:tr>
      <w:tr>
        <w:tblPrEx>
          <w:tblCellMar>
            <w:top w:w="0" w:type="dxa"/>
            <w:left w:w="10" w:type="dxa"/>
            <w:bottom w:w="0" w:type="dxa"/>
            <w:right w:w="10" w:type="dxa"/>
          </w:tblCellMar>
        </w:tblPrEx>
        <w:trPr>
          <w:gridAfter w:val="4"/>
          <w:wAfter w:w="260" w:type="dxa"/>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260" w:type="dxa"/>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260" w:type="dxa"/>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兴银理财日日新2号净值型理财产品2022年第一季度报告</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Z存放同业（线上）20211012007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21九江银行CD151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495,948,912.12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21农业银行CD132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492,586,760.99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21宁波银行CD282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492,454,922.56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21珠海华润银行CD071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396,542,724.24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21洛阳银行CD090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299,084,213.43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21中原银行CD267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296,886,211.77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18深建01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261,347,166.66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260" w:type="dxa"/>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21宁河西CP001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21百业源MTN001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19川能投MTN004A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20陕西环保GN001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19西南水泥MTN001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19金圆投资MTN001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20珠海九洲MTN001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21武汉城建SCP007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兴银理财日日新2号净值型理财产品2022年第一季度报告</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21龙城发展MTN001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051010100101214830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兴银理财日日新2号净值型理财产品</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tcPr>
            <w:gridSpan w:val="4"/>
          </w:tcPr>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23337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TD"/>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3439</Words>
  <Characters>4336</Characters>
  <TotalTime>0</TotalTime>
  <ScaleCrop>false</ScaleCrop>
  <LinksUpToDate>false</LinksUpToDate>
  <CharactersWithSpaces>4474</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2022-04-18T08:28:21Z</dcterms:created>
  <dc:creator>Administrator</dc:creator>
  <cp:lastModifiedBy>Administrator</cp:lastModifiedBy>
  <dcterms:modified xsi:type="dcterms:W3CDTF">2022-04-18T08:28:46Z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32A0A4B3F47F40048D0517AC02CE0924</vt:lpwstr>
  </property>
</Properties>
</file>