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600"/>
        <w:gridCol w:w="220"/>
        <w:gridCol w:w="380"/>
        <w:gridCol w:w="740"/>
        <w:gridCol w:w="260"/>
        <w:gridCol w:w="1000"/>
        <w:gridCol w:w="1000"/>
        <w:gridCol w:w="1000"/>
        <w:gridCol w:w="800"/>
        <w:gridCol w:w="1820"/>
        <w:gridCol w:w="480"/>
        <w:gridCol w:w="100"/>
        <w:gridCol w:w="100"/>
        <w:gridCol w:w="1"/>
        <w:gridCol w:w="19"/>
        <w:gridCol w:w="1"/>
        <w:gridCol w:w="19"/>
        <w:gridCol w:w="260"/>
        <w:gridCol w:w="1"/>
      </w:tblGrid>
      <w:tr>
        <w:tblPrEx>
          <w:tblCellMar>
            <w:top w:w="0" w:type="dxa"/>
            <w:left w:w="10" w:type="dxa"/>
            <w:bottom w:w="0" w:type="dxa"/>
            <w:right w:w="10" w:type="dxa"/>
          </w:tblCellMar>
        </w:tblPrEx>
        <w:trPr>
          <w:gridAfter w:val="5"/>
          <w:wAfter w:w="300" w:type="dxa"/>
          <w:trHeight w:val="0" w:hRule="atLeast"/>
        </w:trPr>
        <w:tc>
          <w:p>
            <w:pPr>
              <w:pStyle w:val="4"/>
            </w:pPr>
            <w:bookmarkStart w:id="0" w:name="JR_PAGE_ANCHOR_0_1"/>
            <w:bookmarkEnd w:id="0"/>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兴业银行添利5号净值型理财产品2022年第一季度报告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96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3020" w:hRule="atLeast"/>
        </w:trPr>
        <w:tc>
          <w:p>
            <w:pPr>
              <w:pStyle w:val="4"/>
            </w:pPr>
          </w:p>
        </w:tc>
        <w:tc>
          <w:tcPr>
            <w:gridSpan w:val="17"/>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兴业银行添利5号净值型理财产品</w:t>
            </w:r>
            <w:r>
              <w:rPr>
                <w:rFonts w:ascii="宋体" w:hAnsi="宋体" w:eastAsia="宋体" w:cs="宋体"/>
                <w:b/>
                <w:color w:val="000000"/>
                <w:sz w:val="32"/>
              </w:rPr>
              <w:br w:type="textWrapping"/>
            </w:r>
            <w:r>
              <w:rPr>
                <w:rFonts w:ascii="宋体" w:hAnsi="宋体" w:eastAsia="宋体" w:cs="宋体"/>
                <w:b/>
                <w:color w:val="000000"/>
                <w:sz w:val="32"/>
              </w:rPr>
              <w:t>2022年第一季度报告</w:t>
            </w:r>
          </w:p>
        </w:tc>
        <w:tc>
          <w:p>
            <w:pPr>
              <w:pStyle w:val="4"/>
            </w:pPr>
          </w:p>
        </w:tc>
      </w:tr>
      <w:tr>
        <w:tblPrEx>
          <w:tblCellMar>
            <w:top w:w="0" w:type="dxa"/>
            <w:left w:w="10" w:type="dxa"/>
            <w:bottom w:w="0" w:type="dxa"/>
            <w:right w:w="10" w:type="dxa"/>
          </w:tblCellMar>
        </w:tblPrEx>
        <w:trPr>
          <w:gridAfter w:val="5"/>
          <w:wAfter w:w="300" w:type="dxa"/>
          <w:trHeight w:val="660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报告送出日期：2022年4月22日</w:t>
            </w: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272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6"/>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兴业银行添利5号净值型理财产品2022年第一季度报告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6840" w:hRule="atLeast"/>
        </w:trPr>
        <w:tc>
          <w:p>
            <w:pPr>
              <w:pStyle w:val="4"/>
            </w:pPr>
          </w:p>
        </w:tc>
        <w:tc>
          <w:tcPr>
            <w:gridSpan w:val="3"/>
          </w:tcPr>
          <w:p>
            <w:pPr>
              <w:pStyle w:val="4"/>
            </w:pPr>
          </w:p>
        </w:tc>
        <w:tc>
          <w:tcPr>
            <w:gridSpan w:val="12"/>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r>
              <w:rPr>
                <w:rFonts w:ascii="宋体" w:hAnsi="宋体" w:eastAsia="宋体" w:cs="宋体"/>
                <w:color w:val="000000"/>
                <w:sz w:val="21"/>
              </w:rPr>
              <w:br w:type="textWrapping"/>
            </w:r>
            <w:r>
              <w:rPr>
                <w:rFonts w:ascii="宋体" w:hAnsi="宋体" w:eastAsia="宋体" w:cs="宋体"/>
                <w:color w:val="000000"/>
                <w:sz w:val="21"/>
              </w:rPr>
              <w:t xml:space="preserve">     7. 影响理财份额投资人决策的其他重要信息</w:t>
            </w: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3"/>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兴业银行添利5号净值型理财产品2022年第一季度报告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6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5"/>
          <w:wAfter w:w="300" w:type="dxa"/>
          <w:trHeight w:val="2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3080" w:hRule="atLeast"/>
        </w:trPr>
        <w:tc>
          <w:p>
            <w:pPr>
              <w:pStyle w:val="4"/>
            </w:pPr>
          </w:p>
        </w:tc>
        <w:tc>
          <w:tcPr>
            <w:gridSpan w:val="17"/>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5"/>
          <w:wAfter w:w="300" w:type="dxa"/>
          <w:trHeight w:val="6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5"/>
          <w:wAfter w:w="300" w:type="dxa"/>
          <w:trHeight w:val="2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兴业银行添利5号净值型理财产品</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9B319021</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Z7002020000004</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12,772,274,567.33份</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通知存款七天+浮动基数0%</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R1</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5"/>
          <w:wAfter w:w="300" w:type="dxa"/>
          <w:trHeight w:val="292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7"/>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兴业银行添利5号净值型理财产品2022年第一季度报告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5"/>
          <w:wAfter w:w="300" w:type="dxa"/>
          <w:trHeight w:val="5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center"/>
          </w:tcPr>
          <w:p>
            <w:pPr>
              <w:spacing w:before="0" w:after="0" w:line="320" w:lineRule="exact"/>
              <w:ind w:firstLine="0"/>
            </w:pPr>
            <w:r>
              <w:rPr>
                <w:rFonts w:ascii="宋体" w:hAnsi="宋体" w:eastAsia="宋体" w:cs="宋体"/>
                <w:color w:val="000000"/>
                <w:sz w:val="21"/>
              </w:rPr>
              <w:t>报告期内，9B319021七日年化收益率均值3.0264%。同期业绩比较基准如下：</w:t>
            </w:r>
          </w:p>
        </w:tc>
        <w:tc>
          <w:p>
            <w:pPr>
              <w:pStyle w:val="4"/>
            </w:pPr>
          </w:p>
        </w:tc>
      </w:tr>
      <w:tr>
        <w:tblPrEx>
          <w:tblCellMar>
            <w:top w:w="0" w:type="dxa"/>
            <w:left w:w="10" w:type="dxa"/>
            <w:bottom w:w="0" w:type="dxa"/>
            <w:right w:w="10" w:type="dxa"/>
          </w:tblCellMar>
        </w:tblPrEx>
        <w:trPr>
          <w:gridAfter w:val="5"/>
          <w:wAfter w:w="300" w:type="dxa"/>
          <w:trHeight w:val="16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1200" w:hRule="exact"/>
        </w:trPr>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gridCol w:w="4000"/>
              <w:gridCol w:w="46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AFAFA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适用期间</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业绩比较基准</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2022-01-01至2022-03-31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6"/>
            <w:tcMar>
              <w:top w:w="0" w:type="dxa"/>
              <w:left w:w="0" w:type="dxa"/>
              <w:bottom w:w="0" w:type="dxa"/>
              <w:right w:w="0" w:type="dxa"/>
            </w:tcMar>
            <w:vAlign w:val="center"/>
          </w:tcPr>
          <w:p>
            <w:r>
              <w:rPr>
                <w:rFonts w:ascii="宋体" w:hAnsi="宋体" w:eastAsia="宋体" w:cs="宋体"/>
                <w:color w:val="000000"/>
                <w:sz w:val="21"/>
              </w:rPr>
              <w:t>报告期末，产品收益具体如下：</w:t>
            </w: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5"/>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万份收益</w:t>
            </w:r>
          </w:p>
        </w:tc>
        <w:tc>
          <w:tcPr>
            <w:gridSpan w:val="3"/>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七日年化收益率</w:t>
            </w:r>
          </w:p>
        </w:tc>
        <w:tc>
          <w:tcPr>
            <w:gridSpan w:val="3"/>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c>
          <w:tcPr>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0.7353</w:t>
            </w:r>
          </w:p>
        </w:tc>
        <w:tc>
          <w:tcPr>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2.7930%</w:t>
            </w:r>
          </w:p>
        </w:tc>
        <w:tc>
          <w:tcPr>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12,772,274,567.33</w:t>
            </w:r>
          </w:p>
        </w:tc>
        <w:tc>
          <w:p>
            <w:pPr>
              <w:pStyle w:val="4"/>
            </w:pPr>
          </w:p>
        </w:tc>
        <w:tc>
          <w:p>
            <w:pPr>
              <w:pStyle w:val="4"/>
            </w:pPr>
          </w:p>
        </w:tc>
      </w:tr>
      <w:tr>
        <w:tblPrEx>
          <w:tblCellMar>
            <w:top w:w="0" w:type="dxa"/>
            <w:left w:w="10" w:type="dxa"/>
            <w:bottom w:w="0" w:type="dxa"/>
            <w:right w:w="10" w:type="dxa"/>
          </w:tblCellMar>
        </w:tblPrEx>
        <w:trPr>
          <w:gridAfter w:val="5"/>
          <w:wAfter w:w="30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5"/>
          <w:wAfter w:w="30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156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汪锦女士，上海财经大学经济学硕士，国际金融理财师（CFP），中级经济师职称。银行理财产品创设、投资从业11年。 2005年任上海银行金融市场部同业“利多系列”产品投资经理；2013年加入兴业银行总行资产管理部历任同业“稳增1号”、“稳增2号”投资经理。2016年起，负责资产管理部流动性管理，管理总规模逾万亿，擅长大资金的资产配置和流动性管理；2019年转入兴银理财，现担任兴业银行添利5号净值型理财产品、兴业银行“现金宝4号”私人银行类人民币理财产品、兴银理财添利9号净值型理财产品和兴银理财添利10号净值型理财产品投资经理。</w:t>
            </w: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bookmarkStart w:id="8" w:name="_GoBack"/>
            <w:bookmarkEnd w:id="8"/>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5"/>
          <w:wAfter w:w="300" w:type="dxa"/>
          <w:trHeight w:val="2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574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 宏观经济及市场情况</w:t>
            </w:r>
            <w:r>
              <w:rPr>
                <w:rFonts w:ascii="宋体" w:hAnsi="宋体" w:eastAsia="宋体" w:cs="宋体"/>
                <w:color w:val="000000"/>
                <w:sz w:val="21"/>
              </w:rPr>
              <w:br w:type="textWrapping"/>
            </w:r>
            <w:r>
              <w:rPr>
                <w:rFonts w:ascii="宋体" w:hAnsi="宋体" w:eastAsia="宋体" w:cs="宋体"/>
                <w:color w:val="000000"/>
                <w:sz w:val="21"/>
              </w:rPr>
              <w:t xml:space="preserve">    2022年第一季度，债券市场收益率先下后上，1月中旬央行下调MLF和逆回购利率10bp，宽货币先行带动十年国债收益率下行至1月下旬低点2.68%，随后1月社融及贷款数据超预期叠加美国通胀加剧，美联储加息预期升温，十年国债收益率触底回升至2.80%中枢波动。2月下旬至3月，市场经历着多空力量的来回拉扯，在权益市场调整诱发广义基金赎回、部分城市首付款比例降低引发宽信用担忧、海外美债收益率上行，以及2月社融增速低于预期、国内疫情多点散发、俄乌冲突带来的地缘政治风险等多重因素影响下，十年国债收益率在2.75%-2.85%区间维持震荡走势。期限利差方面，由于货币政策呈偏松格局，短端收益率反弹有限，长端反弹较大，期限利差普遍走阔。</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 xml:space="preserve">    展望二季度，国内外形势更趋严峻复杂，国内经济“三重压力”背景下稳增长政策的进一步落地和数据验证将成为博弈重点，尤其关注部分省市疫情散点爆发对宽信用的短期扰动和多地房地产政策边际缓和的落地效果。海外方面，美联储加息缩表节奏预期和地缘政治推升海外通胀中枢等因素对国内政策节奏的影响值得关注。鉴于目前宽信用效果欠佳，金稳会表态“货币政策要主动应对”，二季度货币政策维持偏宽松的确定性较大。总体来看，市场对二季度短端维持震荡的预期较为一致，关注基本面、政策面和投资者行为边际变化带来的投资机会。</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 前期运作回顾</w:t>
            </w:r>
            <w:r>
              <w:rPr>
                <w:rFonts w:ascii="宋体" w:hAnsi="宋体" w:eastAsia="宋体" w:cs="宋体"/>
                <w:color w:val="000000"/>
                <w:sz w:val="21"/>
              </w:rPr>
              <w:br w:type="textWrapping"/>
            </w:r>
            <w:r>
              <w:rPr>
                <w:rFonts w:ascii="宋体" w:hAnsi="宋体" w:eastAsia="宋体" w:cs="宋体"/>
                <w:color w:val="000000"/>
                <w:sz w:val="21"/>
              </w:rPr>
              <w:t xml:space="preserve">    报告期内，本产品始终将保持流动性安全和防范信用风险作为第一要务，在此基础上通过稳健的投资风格实现相对稳定的收益。</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5"/>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28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兴业银行添利5号净值型理财产品2022年第一季度报告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558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内，本产品规模小幅攀升，根据我们对市场的预判一季度收益率大概率震荡走势，在收益率回升期积极把握市场高点的买入机会，2月底3月初抓住配置窗口着重构建了部分同业存单资产，保证了产品组合收益率的市场竞争力。报告期内本产品维持偏低杠杆水平，组合久期0.8年，日均年化收益率3.03%。</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三 后期投资策略</w:t>
            </w:r>
            <w:r>
              <w:rPr>
                <w:rFonts w:ascii="宋体" w:hAnsi="宋体" w:eastAsia="宋体" w:cs="宋体"/>
                <w:color w:val="000000"/>
                <w:sz w:val="21"/>
              </w:rPr>
              <w:tab/>
            </w:r>
            <w:r>
              <w:rPr>
                <w:rFonts w:ascii="宋体" w:hAnsi="宋体" w:eastAsia="宋体" w:cs="宋体"/>
                <w:color w:val="000000"/>
                <w:sz w:val="21"/>
              </w:rPr>
              <w:br w:type="textWrapping"/>
            </w:r>
            <w:r>
              <w:rPr>
                <w:rFonts w:ascii="宋体" w:hAnsi="宋体" w:eastAsia="宋体" w:cs="宋体"/>
                <w:color w:val="000000"/>
                <w:sz w:val="21"/>
              </w:rPr>
              <w:t xml:space="preserve">    下阶段本产品依然会保持安全性和流动性优先、兼顾收益性的稳健投资策略，深入研究分析债券市场收益率的变化趋势，综合考量各投资品种的风险收益特征，在此基础上制定科学有效的投资策略。</w:t>
            </w:r>
            <w:r>
              <w:rPr>
                <w:rFonts w:ascii="宋体" w:hAnsi="宋体" w:eastAsia="宋体" w:cs="宋体"/>
                <w:color w:val="000000"/>
                <w:sz w:val="21"/>
              </w:rPr>
              <w:br w:type="textWrapping"/>
            </w:r>
            <w:r>
              <w:rPr>
                <w:rFonts w:ascii="宋体" w:hAnsi="宋体" w:eastAsia="宋体" w:cs="宋体"/>
                <w:color w:val="000000"/>
                <w:sz w:val="21"/>
              </w:rPr>
              <w:t xml:space="preserve">    在具体操作上，关注市场调整机会。从3月发布的宏观数据和中高频数据对比来看，国内的基本面仍存在结构性矛盾，经济复苏有一定阻碍。新一轮国内多地散发疫情的冲击，也给社会经济带来一定的负面影响。随着疫情平复后补偿性增长的释放，叠加稳增长相关政策的发力，债券市场收益率可能会面临调整压力，尤其是宽信用政策带来的信用利差走阔。对于摊余成本估值的现金管理产品，市场利率上行时期是较好的投资窗口期，我们会结合产品实际情况、把握建仓时机，提高产品组合静态收益。</w:t>
            </w:r>
            <w:r>
              <w:rPr>
                <w:rFonts w:ascii="宋体" w:hAnsi="宋体" w:eastAsia="宋体" w:cs="宋体"/>
                <w:color w:val="000000"/>
                <w:sz w:val="21"/>
              </w:rPr>
              <w:br w:type="textWrapping"/>
            </w:r>
            <w:r>
              <w:rPr>
                <w:rFonts w:ascii="宋体" w:hAnsi="宋体" w:eastAsia="宋体" w:cs="宋体"/>
                <w:color w:val="000000"/>
                <w:sz w:val="21"/>
              </w:rPr>
              <w:t xml:space="preserve">    流动性管理方面，货币政策仍然会保持宽松，产品流动性无忧，资产组合中维持一定的杠杆比例增厚产品收益。半年末我们将密切关注市场资金面情况和产品申购赎回情况，合理分配现金流，确保产品的流动性安全。此外，结合已颁布的《关于规范现金管理类理财产品管理有关事项的通知》，我们将持续按照监管部门的要求，对组合进行调整和优化。</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400" w:hRule="atLeast"/>
        </w:trPr>
        <w:tc>
          <w:p>
            <w:pPr>
              <w:pStyle w:val="4"/>
            </w:pPr>
          </w:p>
        </w:tc>
        <w:tc>
          <w:p>
            <w:pPr>
              <w:pStyle w:val="4"/>
            </w:pPr>
          </w:p>
        </w:tc>
        <w:tc>
          <w:tcPr>
            <w:gridSpan w:val="18"/>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3"/>
          <w:wAfter w:w="280" w:type="dxa"/>
          <w:trHeight w:val="4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3000" w:hRule="exact"/>
        </w:trPr>
        <w:tc>
          <w:p>
            <w:pPr>
              <w:pStyle w:val="4"/>
            </w:pPr>
          </w:p>
        </w:tc>
        <w:tc>
          <w:p>
            <w:pPr>
              <w:pStyle w:val="4"/>
            </w:pPr>
          </w:p>
        </w:tc>
        <w:tc>
          <w:tcPr>
            <w:gridSpan w:val="18"/>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3200"/>
              <w:gridCol w:w="4000"/>
              <w:gridCol w:w="2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76.63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280" w:type="dxa"/>
          <w:trHeight w:val="6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600" w:hRule="atLeast"/>
        </w:trPr>
        <w:tc>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100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600" w:hRule="atLeast"/>
        </w:trPr>
        <w:tc>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52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400" w:hRule="atLeast"/>
        </w:trPr>
        <w:tc>
          <w:p>
            <w:pPr>
              <w:pStyle w:val="4"/>
            </w:pPr>
          </w:p>
        </w:tc>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0" w:hRule="atLeast"/>
        </w:trPr>
        <w:tc>
          <w:p>
            <w:pPr>
              <w:pStyle w:val="4"/>
              <w:pageBreakBefore/>
            </w:pPr>
            <w:bookmarkStart w:id="5" w:name="JR_PAGE_ANCHOR_0_6"/>
            <w:bookmarkEnd w:id="5"/>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兴业银行添利5号净值型理财产品2022年第一季度报告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136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5"/>
          <w:wAfter w:w="300" w:type="dxa"/>
          <w:trHeight w:val="52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5"/>
          <w:wAfter w:w="300" w:type="dxa"/>
          <w:trHeight w:val="6640" w:hRule="exact"/>
        </w:trPr>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22CSFD59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4.70</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Z存放同业（线上）20220214003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3.91</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Z存放同业（线上）20210917001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3.91</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Z存放同业（线上）20210805003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3.91</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Z存放同业（线上）20220316003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3.91</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Z存放同业（线上）20211012004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3.91</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21青岛银行CD042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499,405,067.82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22民生银行CD076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488,360,156.64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20进出12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409,652,156.91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20农发07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299,367,927.15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2.34</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5"/>
          <w:wAfter w:w="300" w:type="dxa"/>
          <w:trHeight w:val="568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7"/>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0" w:hRule="atLeast"/>
        </w:trPr>
        <w:tc>
          <w:p>
            <w:pPr>
              <w:pStyle w:val="4"/>
              <w:pageBreakBefore/>
            </w:pPr>
            <w:bookmarkStart w:id="6" w:name="JR_PAGE_ANCHOR_0_7"/>
            <w:bookmarkEnd w:id="6"/>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兴业银行添利5号净值型理财产品2022年第一季度报告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4"/>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5"/>
          <w:wAfter w:w="300" w:type="dxa"/>
          <w:trHeight w:val="138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18九龙江MTN002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18赣国资MTN002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19晋焦煤MTN004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20常城建PPN003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20津能源MTN001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20湖北租赁债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20联发集MTN002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20联发集MTN003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20闽电子MTN001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21武金控MTN001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22甘国投SCP001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21华夏租赁债01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21湖北租赁债01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19海通恒信PPN001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20广州高新MTN001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20徐州新盛PPN001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20浦口康居MTN004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20浦口康居MTN005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20海沧投资MTN001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21中航租赁MTN002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21国新保理SCP002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21柯桥国资MTN001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4"/>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5"/>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兴业银行添利5号净值型理财产品2022年第一季度报告</w:t>
            </w: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22徐州交通SCP001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9"/>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051010100100810699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兴业理财托管专户添利5号净值型理财产品</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2"/>
            <w:tcMar>
              <w:top w:w="0" w:type="dxa"/>
              <w:left w:w="0" w:type="dxa"/>
              <w:bottom w:w="0" w:type="dxa"/>
              <w:right w:w="0" w:type="dxa"/>
            </w:tcMar>
            <w:vAlign w:val="center"/>
          </w:tcPr>
          <w:p>
            <w:pPr>
              <w:jc w:val="left"/>
            </w:pPr>
            <w:r>
              <w:rPr>
                <w:rFonts w:ascii="宋体" w:hAnsi="宋体" w:eastAsia="宋体" w:cs="宋体"/>
                <w:b/>
                <w:color w:val="000000"/>
                <w:sz w:val="21"/>
              </w:rPr>
              <w:t>7.影响理财份额投资人决策的其他重要信息</w:t>
            </w: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2"/>
            <w:tcMar>
              <w:top w:w="0" w:type="dxa"/>
              <w:left w:w="0" w:type="dxa"/>
              <w:bottom w:w="0" w:type="dxa"/>
              <w:right w:w="0" w:type="dxa"/>
            </w:tcMar>
            <w:vAlign w:val="center"/>
          </w:tcPr>
          <w:p>
            <w:pPr>
              <w:jc w:val="left"/>
            </w:pPr>
            <w:r>
              <w:rPr>
                <w:rFonts w:ascii="宋体" w:hAnsi="宋体" w:eastAsia="宋体" w:cs="宋体"/>
                <w:color w:val="000000"/>
                <w:sz w:val="20"/>
              </w:rPr>
              <w:t xml:space="preserve"> 7.1报告期内单一投资者持有产品份额达到或者超过该产品总份额20%的情形</w:t>
            </w: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22"/>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blPrEx>
                <w:tblCellMar>
                  <w:top w:w="0" w:type="dxa"/>
                  <w:left w:w="10" w:type="dxa"/>
                  <w:bottom w:w="0" w:type="dxa"/>
                  <w:right w:w="10" w:type="dxa"/>
                </w:tblCellMar>
              </w:tblPrEx>
              <w:trPr>
                <w:trHeight w:val="600" w:hRule="exact"/>
              </w:trPr>
              <w:tc>
                <w:tcPr>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rPr>
                      <w:trHeight w:val="600" w:hRule="atLeast"/>
                    </w:trPr>
                    <w:tc>
                      <w:tcPr>
                        <w:tcMar>
                          <w:top w:w="0" w:type="dxa"/>
                          <w:left w:w="0" w:type="dxa"/>
                          <w:bottom w:w="0" w:type="dxa"/>
                          <w:right w:w="0" w:type="dxa"/>
                        </w:tcMar>
                        <w:vAlign w:val="center"/>
                      </w:tcPr>
                      <w:p>
                        <w:pPr>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7"/>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7"/>
            <w:tcMar>
              <w:top w:w="0" w:type="dxa"/>
              <w:left w:w="0" w:type="dxa"/>
              <w:bottom w:w="0" w:type="dxa"/>
              <w:right w:w="0" w:type="dxa"/>
            </w:tcMar>
            <w:vAlign w:val="top"/>
          </w:tcPr>
          <w:p>
            <w:pPr>
              <w:jc w:val="right"/>
            </w:pPr>
            <w:r>
              <w:rPr>
                <w:rFonts w:ascii="宋体" w:hAnsi="宋体" w:eastAsia="宋体" w:cs="宋体"/>
                <w:color w:val="000000"/>
                <w:sz w:val="21"/>
              </w:rPr>
              <w:t>2022年4月22日</w:t>
            </w: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68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5"/>
          </w:tcPr>
          <w:p>
            <w:pPr>
              <w:pStyle w:val="4"/>
            </w:pPr>
          </w:p>
        </w:tc>
        <w:tc>
          <w:tcPr>
            <w:gridSpan w:val="4"/>
          </w:tcPr>
          <w:p>
            <w:pPr>
              <w:pStyle w:val="4"/>
            </w:pPr>
          </w:p>
        </w:tc>
        <w:tc>
          <w:p>
            <w:pPr>
              <w:pStyle w:val="4"/>
            </w:pPr>
          </w:p>
        </w:tc>
        <w:tc>
          <w:p>
            <w:pPr>
              <w:pStyle w:val="4"/>
            </w:pPr>
          </w:p>
        </w:tc>
      </w:tr>
    </w:tbl>
    <w:p/>
    <w:sectPr>
      <w:pgSz w:w="11900" w:h="16840"/>
      <w:pgMar w:top="600" w:right="3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rsids>
    <w:rsidRoot w:val="00000000"/>
    <w:rsid w:val="595964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 1_TH"/>
    <w:qFormat/>
    <w:uiPriority w:val="0"/>
    <w:pPr>
      <w:spacing w:line="240" w:lineRule="auto"/>
    </w:pPr>
    <w:rPr>
      <w:rFonts w:ascii="SansSerif" w:hAnsi="SansSerif" w:eastAsia="SansSerif" w:cs="SansSerif"/>
      <w:color w:val="000000"/>
      <w:sz w:val="20"/>
      <w:szCs w:val="22"/>
    </w:rPr>
  </w:style>
  <w:style w:type="paragraph" w:customStyle="1" w:styleId="9">
    <w:name w:val="Table 1_CH"/>
    <w:qFormat/>
    <w:uiPriority w:val="0"/>
    <w:pPr>
      <w:spacing w:line="240" w:lineRule="auto"/>
    </w:pPr>
    <w:rPr>
      <w:rFonts w:ascii="SansSerif" w:hAnsi="SansSerif" w:eastAsia="SansSerif" w:cs="SansSerif"/>
      <w:color w:val="000000"/>
      <w:sz w:val="20"/>
      <w:szCs w:val="22"/>
    </w:rPr>
  </w:style>
  <w:style w:type="paragraph" w:customStyle="1" w:styleId="10">
    <w:name w:val="Table 1_TD"/>
    <w:qFormat/>
    <w:uiPriority w:val="0"/>
    <w:pPr>
      <w:spacing w:line="240" w:lineRule="auto"/>
    </w:pPr>
    <w:rPr>
      <w:rFonts w:ascii="SansSerif" w:hAnsi="SansSerif" w:eastAsia="SansSerif" w:cs="SansSerif"/>
      <w:color w:val="000000"/>
      <w:sz w:val="20"/>
      <w:szCs w:val="22"/>
    </w:rPr>
  </w:style>
  <w:style w:type="paragraph" w:customStyle="1" w:styleId="11">
    <w:name w:val="Table 2_TH"/>
    <w:qFormat/>
    <w:uiPriority w:val="0"/>
    <w:pPr>
      <w:spacing w:line="240" w:lineRule="auto"/>
    </w:pPr>
    <w:rPr>
      <w:rFonts w:ascii="SansSerif" w:hAnsi="SansSerif" w:eastAsia="SansSerif" w:cs="SansSerif"/>
      <w:color w:val="000000"/>
      <w:sz w:val="20"/>
      <w:szCs w:val="22"/>
    </w:rPr>
  </w:style>
  <w:style w:type="paragraph" w:customStyle="1" w:styleId="12">
    <w:name w:val="Table 2_CH"/>
    <w:qFormat/>
    <w:uiPriority w:val="0"/>
    <w:pPr>
      <w:spacing w:line="240" w:lineRule="auto"/>
    </w:pPr>
    <w:rPr>
      <w:rFonts w:ascii="SansSerif" w:hAnsi="SansSerif" w:eastAsia="SansSerif" w:cs="SansSerif"/>
      <w:color w:val="000000"/>
      <w:sz w:val="20"/>
      <w:szCs w:val="22"/>
    </w:rPr>
  </w:style>
  <w:style w:type="paragraph" w:customStyle="1" w:styleId="13">
    <w:name w:val="Table 2_TD"/>
    <w:qFormat/>
    <w:uiPriority w:val="0"/>
    <w:pPr>
      <w:spacing w:line="240" w:lineRule="auto"/>
    </w:pPr>
    <w:rPr>
      <w:rFonts w:ascii="SansSerif" w:hAnsi="SansSerif" w:eastAsia="SansSerif" w:cs="SansSerif"/>
      <w:color w:val="000000"/>
      <w:sz w:val="20"/>
      <w:szCs w:val="22"/>
    </w:rPr>
  </w:style>
  <w:style w:type="paragraph" w:customStyle="1" w:styleId="14">
    <w:name w:val="Table_CD"/>
    <w:qFormat/>
    <w:uiPriority w:val="0"/>
    <w:pPr>
      <w:spacing w:line="240" w:lineRule="auto"/>
    </w:pPr>
    <w:rPr>
      <w:rFonts w:ascii="SansSerif" w:hAnsi="SansSerif" w:eastAsia="SansSerif" w:cs="SansSerif"/>
      <w:color w:val="000000"/>
      <w:sz w:val="20"/>
      <w:szCs w:val="22"/>
    </w:rPr>
  </w:style>
  <w:style w:type="paragraph" w:customStyle="1" w:styleId="15">
    <w:name w:val="Table 3_TH"/>
    <w:qFormat/>
    <w:uiPriority w:val="0"/>
    <w:pPr>
      <w:spacing w:line="240" w:lineRule="auto"/>
    </w:pPr>
    <w:rPr>
      <w:rFonts w:ascii="SansSerif" w:hAnsi="SansSerif" w:eastAsia="SansSerif" w:cs="SansSerif"/>
      <w:color w:val="000000"/>
      <w:sz w:val="20"/>
      <w:szCs w:val="22"/>
    </w:rPr>
  </w:style>
  <w:style w:type="paragraph" w:customStyle="1" w:styleId="16">
    <w:name w:val="Table 3_CH"/>
    <w:qFormat/>
    <w:uiPriority w:val="0"/>
    <w:pPr>
      <w:spacing w:line="240" w:lineRule="auto"/>
    </w:pPr>
    <w:rPr>
      <w:rFonts w:ascii="SansSerif" w:hAnsi="SansSerif" w:eastAsia="SansSerif" w:cs="SansSerif"/>
      <w:color w:val="000000"/>
      <w:sz w:val="20"/>
      <w:szCs w:val="22"/>
    </w:rPr>
  </w:style>
  <w:style w:type="paragraph" w:customStyle="1" w:styleId="17">
    <w:name w:val="Table 3_TD"/>
    <w:qFormat/>
    <w:uiPriority w:val="0"/>
    <w:pPr>
      <w:spacing w:line="240" w:lineRule="auto"/>
    </w:pPr>
    <w:rPr>
      <w:rFonts w:ascii="SansSerif" w:hAnsi="SansSerif" w:eastAsia="SansSerif" w:cs="SansSerif"/>
      <w:color w:val="000000"/>
      <w:sz w:val="20"/>
      <w:szCs w:val="22"/>
    </w:rPr>
  </w:style>
  <w:style w:type="paragraph" w:customStyle="1" w:styleId="18">
    <w:name w:val="Table 4_TH"/>
    <w:qFormat/>
    <w:uiPriority w:val="0"/>
    <w:pPr>
      <w:spacing w:line="240" w:lineRule="auto"/>
    </w:pPr>
    <w:rPr>
      <w:rFonts w:ascii="SansSerif" w:hAnsi="SansSerif" w:eastAsia="SansSerif" w:cs="SansSerif"/>
      <w:color w:val="000000"/>
      <w:sz w:val="20"/>
      <w:szCs w:val="22"/>
    </w:rPr>
  </w:style>
  <w:style w:type="paragraph" w:customStyle="1" w:styleId="19">
    <w:name w:val="Table 4_CH"/>
    <w:qFormat/>
    <w:uiPriority w:val="0"/>
    <w:pPr>
      <w:spacing w:line="240" w:lineRule="auto"/>
    </w:pPr>
    <w:rPr>
      <w:rFonts w:ascii="SansSerif" w:hAnsi="SansSerif" w:eastAsia="SansSerif" w:cs="SansSerif"/>
      <w:color w:val="000000"/>
      <w:sz w:val="20"/>
      <w:szCs w:val="22"/>
    </w:rPr>
  </w:style>
  <w:style w:type="paragraph" w:customStyle="1" w:styleId="20">
    <w:name w:val="Table 4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3579</Words>
  <Characters>4664</Characters>
  <TotalTime>0</TotalTime>
  <ScaleCrop>false</ScaleCrop>
  <LinksUpToDate>false</LinksUpToDate>
  <CharactersWithSpaces>4801</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2022-04-18T08:28:50Z</dcterms:created>
  <dc:creator>Administrator</dc:creator>
  <cp:lastModifiedBy>Administrator</cp:lastModifiedBy>
  <dcterms:modified xsi:type="dcterms:W3CDTF">2022-04-18T08:29:12Z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C78C6538AA104662AEBD4AB2D997BE34</vt:lpwstr>
  </property>
</Properties>
</file>