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兴银理财睿盈年年升11号净值型理财产品2021年年度报告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兴银理财睿盈年年升11号净值型理财产品</w:t>
              <w:br/>
              <w:t xml:space="preserve">2021年年度报告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报告送出日期：2022年5月11日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兴银理财睿盈年年升11号净值型理财产品2021年年度报告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兴银理财睿盈年年升11号净值型理财产品2021年年度报告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兴银理财睿盈年年升11号净值型理财产品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9K221011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Z7002021000134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1,735,248,826.88份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3.00%-6.00%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兴银睿盈年年升11号A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9K221111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1,501,766,389.31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兴银睿盈年年升11号B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9K221211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233,482,437.57</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兴银理财睿盈年年升11号净值型理财产品2021年年度报告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产品9K221111自成立日以来，累计净值增长率为0.7120%，年化累计净值增长率为2.2598%。</w:t>
              <w:br/>
              <w:t xml:space="preserve">产品9K221211自成立日以来，累计净值增长率为0.7570%，年化累计净值增长率为2.4027%。</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1,747,702,827.68</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9K221111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1,512,452,706.69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9K221211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235,250,120.99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吕雯丽女士，复旦大学学士、金融硕士，5年债券投资研究经验，曾任华安基金管理有限公司信用研究员，于2019年加入兴银理财，现任固收部投资经理，主要负责纯债和股债混合产品投资管理工作。追求持续稳定回报，在保证流动性和安全性的前提下，兼顾收益性，擅长通过基本面研究、信用研究和主动管理获取超额收益。</w:t>
              <w:br/>
              <w:t xml:space="preserve">    曹子寒先生，北京大学物理学、经济学学士，金融法学硕士，CPA。17年加入兴银理财（前兴业银行资产管理部），4年权益研究投资经验。现任兴银理财股票与量化投资部投资经理。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4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随后央行行长易纲表示PPI将在年内走低，经济高频数据显示经济下行压力加大以及宽松资金面的助推下，市场收益率重回下行通道，四季度经济数据持续走弱，总理重提六稳，政策放松预期再起，债券市场再度进入牛市，收益率水平一路下行至年内低位，收益率曲线结构方面，四季度资金价格平稳，R007围绕OMO利率2.2%的中枢波动，在经济预期走弱的带动下，收益率曲线出现牛平走势。</w:t>
              <w:br/>
              <w:t xml:space="preserve">    权益方面，2022上半年：财政积极且前置，货币配套稳中偏松，利率平稳且曲线有可能陡峭化，叠加二季度利润增速压力最大，判断上半年风格偏大盘蓝筹。2022 下半年：财政发力趋弱，外部环境剧烈变化，货币配套偏稳，利率曲线上行压力变大，盈利增速缓慢修复，判断风格将再度回归均衡，偏消费+小盘成长。</w:t>
              <w:br/>
              <w:t xml:space="preserve">    与宏观经济周期相关性较低、政策独立性较强以及技术驱动的板块，依旧看好，如双碳、汽车智能化等。</w:t>
              <w:br/>
              <w:t xml:space="preserve">    展望明年一季度，对于债券市场，我们整体保持中性略偏乐观的态度。刚刚结束的中央经济工作会议提出当前</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兴银理财睿盈年年升11号净值型理财产品2021年年度报告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br/>
              <w:t xml:space="preserve">    二、运作回顾</w:t>
              <w:br/>
              <w:t xml:space="preserve">    2021年四季度，债券市场先上后下。考虑到经济基本面下行压力增大，房地产产业链压力不断增大，我们在四季度初收益率上行阶段判断此次市场调整空间有限，因而在10月、11月保持了杠杆操作，并稳步增配高性价比券种，抓住了高等级中长久期债券、利率债和存单的行情，赚取了稳定票息收益的同时，资本利得方面亦有收获。</w:t>
              <w:br/>
              <w:t xml:space="preserve">    三、展望投资策略</w:t>
              <w:br/>
              <w:t xml:space="preserve">    展望一季度，产品将继续保持稳健的投资风格。1、发挥票息策略优势，同时维持中性偏积极的杠杆水平与中性偏积极的组合久期。2、把握住利率反弹时的配置机会。3、关注货币政策可能再次宽松的交易机会。</w:t>
              <w:br/>
              <w:t xml:space="preserve">    权益方面，预计2022年经济压力仍大，供给端工业生产将恢复正常水平；需求端，出口大概率回落，但仍有韧性，制造业投资韧性仍强，基建投资将有所发力，地产投资将继续下滑，但“循环”修复政策不会失速，消费趋于改善，但幅度有限。财政整体定调积极，节奏前置托底经济；货币政策或稳中偏松 。产业政策或将围绕双碳、共同富裕 、稳增长等主题。</w:t>
              <w:br/>
              <w:t xml:space="preserve">    结合中央经济工作会议对明年经济“稳”要求以及对财政、货币的新表述，展望2022年的A股市场，我们认为政策变化将成为市场的主导。</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2021年12月31日的资产负债表，2021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1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兴银理财睿盈年年升11号净值型理财产品2021年年度报告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63.69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24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广发证券收益凭证-“收益宝”1号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21浦发银行CD285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292,175,400.00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21北京银行CD153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292,060,800.00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16.71</w:t>
                        </w:r>
                      </w:p>
                    </w:tc>
                  </w:tr>
                </w:tbl>
                <w:p>
                  <w:pPr>
                    <w:pStyle w:val="EMPTY_CELL_STYLE"/>
                  </w:pPr>
                </w:p>
              </w:tc>
            </w:tr>
          </w:tbl>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兴银理财睿盈年年升11号净值型理财产品2021年年度报告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21越秀金融MTN003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101,803,600.00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21苏州高新MTN007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100,480,800.00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21徐州新盛MTN001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61,799,400.00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21四川机场MTN001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50,743,300.00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21金茂投资MTN002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50,312,400.00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19四川路桥MTN001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50,283,550.00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21中信建投CP016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50,063,050.00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2.86</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20河钢集MTN006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20北方稀土MTN002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21四川港投SCP001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21许昌投资MTN001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21越秀金融MTN003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兴银理财睿盈年年升11号净值型理财产品2021年年度报告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051010100101251683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兴银理财睿盈年年升11号净值型理财产品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2022年5月11日</w:t>
            </w:r>
          </w:p>
        </w:tc>
        <w:tc>
          <w:tcPr>
     </w:tcPr>
          <w:p>
            <w:pPr>
              <w:pStyle w:val="EMPTY_CELL_STYLE"/>
            </w:pPr>
          </w:p>
        </w:tc>
        <w:tc>
          <w:tcPr>
     </w:tcPr>
          <w:p>
            <w:pPr>
              <w:pStyle w:val="EMPTY_CELL_STYLE"/>
            </w:pPr>
          </w:p>
        </w:tc>
      </w:tr>
      <w:tr>
        <w:trPr>
          <w:trHeight w:hRule="exact" w:val="1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