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10,261,520,755.40份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产品9K218018自成立日以来，累计净值增长率为14.0160%，年化累计净值增长率为4.4447%。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1.14016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10,351,970,553.50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961,759,100.00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2021网商银行0167（网商鸿微7期A1）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398,492,336.04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Z渝-同业借款20211129001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279,874,560.00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21招银租赁债01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202,544,400.00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21工银租赁债02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