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兴银理财指数新动力1号商品及金融衍生品类净值型理财产品2021年年度报告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兴银理财指数新动力1号商品及金融衍生品类净值型理财产品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兴银理财指数新动力1号商品及金融衍生品类净值型理财产品2021年年度报告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2000" w:type="dxa"/>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兴银理财指数新动力1号商品及金融衍生品类净值型理财产品2021年年度报告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兴银理财指数新动力1号商品及金融衍生品类净值型理财产品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9K222012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商品及金融衍生品类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99,992,554.79份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观察期中证500指数涨跌幅+增强收益率6.00%/年+下跌保护垫（未跌破敲入价格）</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9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7"/>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3" w:name="JR_PAGE_ANCHOR_0_4"/>
            <w:bookmarkEnd w:id="3"/>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兴银理财指数新动力1号商品及金融衍生品类净值型理财产品2021年年度报告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200" w:type="dxa"/>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产品9K222012自成立日以来，累计净值增长率为4.9150%，年化累计净值增长率为14.7047%。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1.04915</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1.04915</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104,907,594.99</w:t>
            </w: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张雅婕女士，上海财经大学硕士，注册会计师，金融从业超过10年。现就职兴银理财有限责任公司，历任华登国际投资经理、兴业银行资产管理部权益投资部投资经理。</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7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在合理控制风险并保持理财资产流动性的前提下，通过投资于挂钩【中证500指数（指数代码：000905.SH）】的收益互换工具和场外期权工具，收益表现紧跟所选股票指数，在指数涨跌幅基础之上获取一定增强收益，承担股票指数波动风险。</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兴银理财指数新动力1号商品及金融衍生品类净值型理财产品2021年年度报告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50" w:hRule="exact"/>
        </w:trPr>
        <w:tc>
          <w:tcPr>
            <w:tcW w:w="1" w:type="dxa"/>
          </w:tcPr>
          <w:p>
            <w:pPr>
              <w:pStyle w:val="4"/>
            </w:pPr>
          </w:p>
        </w:tc>
        <w:tc>
          <w:tcPr>
            <w:tcW w:w="20" w:type="dxa"/>
          </w:tcPr>
          <w:p>
            <w:pPr>
              <w:pStyle w:val="4"/>
            </w:pPr>
          </w:p>
        </w:tc>
        <w:tc>
          <w:tcPr>
            <w:tcW w:w="10700" w:type="dxa"/>
            <w:gridSpan w:val="20"/>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hint="eastAsia" w:ascii="宋体" w:hAnsi="宋体" w:eastAsia="宋体" w:cs="宋体"/>
                            <w:color w:val="000000"/>
                            <w:sz w:val="21"/>
                          </w:rPr>
                          <w:t>0.01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w:t>
                  </w: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衍生品</w:t>
                  </w: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99.99</w:t>
                  </w: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w:t>
                  </w: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36"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214"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256"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收益互换</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104</w:t>
                  </w:r>
                  <w:r>
                    <w:rPr>
                      <w:rFonts w:hint="eastAsia" w:ascii="宋体" w:hAnsi="宋体" w:eastAsia="宋体" w:cs="宋体"/>
                      <w:color w:val="000000"/>
                      <w:sz w:val="21"/>
                    </w:rPr>
                    <w:t>,</w:t>
                  </w:r>
                  <w:r>
                    <w:rPr>
                      <w:rFonts w:ascii="宋体" w:hAnsi="宋体" w:eastAsia="宋体" w:cs="宋体"/>
                      <w:color w:val="000000"/>
                      <w:sz w:val="21"/>
                    </w:rPr>
                    <w:t>250</w:t>
                  </w:r>
                  <w:r>
                    <w:rPr>
                      <w:rFonts w:hint="eastAsia" w:ascii="宋体" w:hAnsi="宋体" w:eastAsia="宋体" w:cs="宋体"/>
                      <w:color w:val="000000"/>
                      <w:sz w:val="21"/>
                    </w:rPr>
                    <w:t>,</w:t>
                  </w:r>
                  <w:r>
                    <w:rPr>
                      <w:rFonts w:ascii="宋体" w:hAnsi="宋体" w:eastAsia="宋体" w:cs="宋体"/>
                      <w:color w:val="000000"/>
                      <w:sz w:val="21"/>
                    </w:rPr>
                    <w:t>519.28</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99.37</w:t>
                  </w:r>
                </w:p>
              </w:tc>
            </w:tr>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w:t>
                  </w: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4"/>
                    <w:jc w:val="center"/>
                  </w:pPr>
                </w:p>
                <w:p>
                  <w:pPr>
                    <w:jc w:val="center"/>
                  </w:pPr>
                </w:p>
                <w:p>
                  <w:pPr>
                    <w:jc w:val="center"/>
                    <w:rPr>
                      <w:rFonts w:asciiTheme="minorEastAsia" w:hAnsiTheme="minorEastAsia"/>
                      <w:sz w:val="21"/>
                      <w:szCs w:val="21"/>
                    </w:rPr>
                  </w:pPr>
                  <w:r>
                    <w:rPr>
                      <w:rFonts w:asciiTheme="minorEastAsia" w:hAnsiTheme="minorEastAsia"/>
                      <w:sz w:val="21"/>
                      <w:szCs w:val="21"/>
                    </w:rPr>
                    <w:t>OPTION20210903000057818</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4"/>
                    <w:jc w:val="center"/>
                  </w:pPr>
                </w:p>
                <w:p>
                  <w:pPr>
                    <w:jc w:val="center"/>
                    <w:rPr>
                      <w:rFonts w:asciiTheme="minorEastAsia" w:hAnsiTheme="minorEastAsia"/>
                      <w:sz w:val="21"/>
                      <w:szCs w:val="21"/>
                    </w:rPr>
                  </w:pPr>
                </w:p>
                <w:p>
                  <w:pPr>
                    <w:jc w:val="center"/>
                  </w:pPr>
                  <w:r>
                    <w:rPr>
                      <w:rFonts w:asciiTheme="minorEastAsia" w:hAnsiTheme="minorEastAsia"/>
                      <w:sz w:val="21"/>
                      <w:szCs w:val="21"/>
                    </w:rPr>
                    <w:t>6</w:t>
                  </w:r>
                  <w:r>
                    <w:rPr>
                      <w:rFonts w:hint="eastAsia" w:asciiTheme="minorEastAsia" w:hAnsiTheme="minorEastAsia"/>
                      <w:sz w:val="21"/>
                      <w:szCs w:val="21"/>
                    </w:rPr>
                    <w:t>,</w:t>
                  </w:r>
                  <w:r>
                    <w:rPr>
                      <w:rFonts w:asciiTheme="minorEastAsia" w:hAnsiTheme="minorEastAsia"/>
                      <w:sz w:val="21"/>
                      <w:szCs w:val="21"/>
                    </w:rPr>
                    <w:t>077</w:t>
                  </w:r>
                  <w:r>
                    <w:rPr>
                      <w:rFonts w:hint="eastAsia" w:asciiTheme="minorEastAsia" w:hAnsiTheme="minorEastAsia"/>
                      <w:sz w:val="21"/>
                      <w:szCs w:val="21"/>
                    </w:rPr>
                    <w:t>,</w:t>
                  </w:r>
                  <w:r>
                    <w:rPr>
                      <w:rFonts w:asciiTheme="minorEastAsia" w:hAnsiTheme="minorEastAsia"/>
                      <w:sz w:val="21"/>
                      <w:szCs w:val="21"/>
                    </w:rPr>
                    <w:t>011.12</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5.79</w:t>
                  </w: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6"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兴银理财指数新动力1号商品及金融衍生品类净值型理财产品2021年年度报告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317" w:hRule="exact"/>
        </w:trPr>
        <w:tc>
          <w:tcPr>
            <w:tcW w:w="1" w:type="dxa"/>
          </w:tcPr>
          <w:p>
            <w:pPr>
              <w:pStyle w:val="4"/>
            </w:pPr>
          </w:p>
        </w:tc>
        <w:tc>
          <w:tcPr>
            <w:tcW w:w="40" w:type="dxa"/>
            <w:gridSpan w:val="2"/>
          </w:tcPr>
          <w:p>
            <w:pPr>
              <w:pStyle w:val="4"/>
            </w:pPr>
          </w:p>
        </w:tc>
        <w:tc>
          <w:tcPr>
            <w:tcW w:w="10700" w:type="dxa"/>
            <w:gridSpan w:val="21"/>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051010100101221808</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兴银理财指数新动力1号商品及金融衍生品类净值型理财产品</w:t>
                        </w:r>
                      </w:p>
                    </w:tc>
                  </w:tr>
                </w:tbl>
                <w:p>
                  <w:pPr>
                    <w:pStyle w:val="4"/>
                  </w:pPr>
                </w:p>
              </w:tc>
            </w:tr>
          </w:tbl>
          <w:p>
            <w:pPr>
              <w:pStyle w:val="4"/>
            </w:pPr>
            <w:bookmarkStart w:id="6" w:name="_GoBack"/>
            <w:bookmarkEnd w:id="6"/>
          </w:p>
        </w:tc>
        <w:tc>
          <w:tcPr>
            <w:tcW w:w="1" w:type="dxa"/>
          </w:tcPr>
          <w:p>
            <w:pPr>
              <w:pStyle w:val="4"/>
            </w:pPr>
          </w:p>
        </w:tc>
      </w:tr>
      <w:tr>
        <w:tblPrEx>
          <w:tblLayout w:type="fixed"/>
          <w:tblCellMar>
            <w:top w:w="0" w:type="dxa"/>
            <w:left w:w="10" w:type="dxa"/>
            <w:bottom w:w="0" w:type="dxa"/>
            <w:right w:w="10" w:type="dxa"/>
          </w:tblCellMar>
        </w:tblPrEx>
        <w:trPr>
          <w:trHeight w:val="15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5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6"/>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7B0C4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2022-05-05T06:45:57Z</dcterms:created>
  <dc:creator>016709</dc:creator>
  <cp:lastModifiedBy>吴姗</cp:lastModifiedBy>
  <dcterms:modified xsi:type="dcterms:W3CDTF">2022-05-05T06:57:03Z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