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兴银理财指数新动力2号商品及金融衍生品类净值型理财产品2021年年度报告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兴银理财指数新动力2号商品及金融衍生品类净值型理财产品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6"/>
          </w:tcPr>
          <w:p>
            <w:pPr>
              <w:pStyle w:val="4"/>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6"/>
          </w:tcPr>
          <w:p>
            <w:pPr>
              <w:pStyle w:val="4"/>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6"/>
          </w:tcPr>
          <w:p>
            <w:pPr>
              <w:pStyle w:val="4"/>
            </w:pPr>
          </w:p>
        </w:tc>
        <w:tc>
          <w:tcPr>
            <w:tcW w:w="7000" w:type="dxa"/>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Pr>
          <w:p>
            <w:pPr>
              <w:pStyle w:val="4"/>
            </w:pPr>
          </w:p>
        </w:tc>
        <w:tc>
          <w:tcPr>
            <w:tcW w:w="2000" w:type="dxa"/>
            <w:gridSpan w:val="2"/>
          </w:tcPr>
          <w:p>
            <w:pPr>
              <w:pStyle w:val="4"/>
            </w:pP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6"/>
          </w:tcPr>
          <w:p>
            <w:pPr>
              <w:pStyle w:val="4"/>
            </w:pPr>
          </w:p>
        </w:tc>
        <w:tc>
          <w:tcPr>
            <w:tcW w:w="380" w:type="dxa"/>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tcW w:w="2620" w:type="dxa"/>
            <w:gridSpan w:val="2"/>
          </w:tcPr>
          <w:p>
            <w:pPr>
              <w:pStyle w:val="4"/>
            </w:pPr>
          </w:p>
        </w:tc>
        <w:tc>
          <w:tcPr>
            <w:tcW w:w="68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兴银理财指数新动力2号商品及金融衍生品类净值型理财产品2021年年度报告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2000" w:type="dxa"/>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 </w:t>
            </w: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4"/>
          </w:tcPr>
          <w:p>
            <w:pPr>
              <w:pStyle w:val="4"/>
            </w:pPr>
          </w:p>
        </w:tc>
        <w:tc>
          <w:tcPr>
            <w:tcW w:w="1000" w:type="dxa"/>
            <w:gridSpan w:val="2"/>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4"/>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tcW w:w="3100" w:type="dxa"/>
            <w:gridSpan w:val="4"/>
          </w:tcPr>
          <w:p>
            <w:pPr>
              <w:pStyle w:val="4"/>
            </w:pPr>
          </w:p>
        </w:tc>
        <w:tc>
          <w:tcPr>
            <w:tcW w:w="20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3300" w:type="dxa"/>
            <w:gridSpan w:val="6"/>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兴银理财指数新动力2号商品及金融衍生品类净值型理财产品2021年年度报告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3300" w:type="dxa"/>
            <w:gridSpan w:val="6"/>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3300" w:type="dxa"/>
            <w:gridSpan w:val="6"/>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3300" w:type="dxa"/>
            <w:gridSpan w:val="6"/>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3300" w:type="dxa"/>
            <w:gridSpan w:val="6"/>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3300" w:type="dxa"/>
            <w:gridSpan w:val="6"/>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兴银理财指数新动力2号商品及金融衍生品类净值型理财产品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9K222015</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Z7002021000221</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商品及金融衍生品类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69,646,743.03份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观察期中证500指数涨跌幅+增强收益率6.00%/年+下跌保护垫（未跌破敲入价格）</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R4</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920" w:hRule="exact"/>
        </w:trPr>
        <w:tc>
          <w:tcPr>
            <w:tcW w:w="1" w:type="dxa"/>
          </w:tcPr>
          <w:p>
            <w:pPr>
              <w:pStyle w:val="4"/>
            </w:pPr>
          </w:p>
        </w:tc>
        <w:tc>
          <w:tcPr>
            <w:tcW w:w="3400" w:type="dxa"/>
            <w:gridSpan w:val="7"/>
          </w:tcPr>
          <w:p>
            <w:pPr>
              <w:pStyle w:val="4"/>
            </w:pPr>
          </w:p>
        </w:tc>
        <w:tc>
          <w:tcPr>
            <w:tcW w:w="740" w:type="dxa"/>
          </w:tcPr>
          <w:p>
            <w:pPr>
              <w:pStyle w:val="4"/>
            </w:pPr>
          </w:p>
        </w:tc>
        <w:tc>
          <w:tcPr>
            <w:tcW w:w="1260" w:type="dxa"/>
            <w:gridSpan w:val="3"/>
          </w:tcPr>
          <w:p>
            <w:pPr>
              <w:pStyle w:val="4"/>
            </w:pPr>
          </w:p>
        </w:tc>
        <w:tc>
          <w:tcPr>
            <w:tcW w:w="2000" w:type="dxa"/>
            <w:gridSpan w:val="2"/>
          </w:tcPr>
          <w:p>
            <w:pPr>
              <w:pStyle w:val="4"/>
            </w:pPr>
          </w:p>
        </w:tc>
        <w:tc>
          <w:tcPr>
            <w:tcW w:w="3300" w:type="dxa"/>
            <w:gridSpan w:val="6"/>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7"/>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tcW w:w="3300" w:type="dxa"/>
            <w:gridSpan w:val="6"/>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3" w:name="JR_PAGE_ANCHOR_0_4"/>
            <w:bookmarkEnd w:id="3"/>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兴银理财指数新动力2号商品及金融衍生品类净值型理财产品2021年年度报告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200" w:type="dxa"/>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产品9K222015自成立日以来，累计净值增长率为7.9460%，年化累计净值增长率为30.2114%。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2600" w:type="dxa"/>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tcW w:w="2500" w:type="dxa"/>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tcW w:w="2700" w:type="dxa"/>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tcW w:w="2800" w:type="dxa"/>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2600" w:type="dxa"/>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c>
          <w:tcPr>
            <w:tcW w:w="2500" w:type="dxa"/>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1.07946</w:t>
            </w:r>
          </w:p>
        </w:tc>
        <w:tc>
          <w:tcPr>
            <w:tcW w:w="2700" w:type="dxa"/>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1.07946</w:t>
            </w:r>
          </w:p>
        </w:tc>
        <w:tc>
          <w:tcPr>
            <w:tcW w:w="2800" w:type="dxa"/>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75,181,053.01</w:t>
            </w: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2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80"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张雅婕女士，上海财经大学硕士，注册会计师，金融从业超过10年。现就职兴银理财有限责任公司，历任华登国际投资经理、兴业银行资产管理部权益投资部投资经理。</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72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2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900"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本产品在合理控制风险并保持理财资产流动性的前提下，通过投资于挂钩【中证500指数（指数代码：000905.SH）】的收益互换工具和场外期权工具，收益表现紧跟所选股票指数，在指数涨跌幅基础之上获取一定增强收益，承担股票指数波动风险。</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8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3000" w:hRule="atLeast"/>
        </w:trPr>
        <w:tc>
          <w:tcPr>
            <w:tcW w:w="1" w:type="dxa"/>
          </w:tcPr>
          <w:p>
            <w:pPr>
              <w:pStyle w:val="4"/>
            </w:pPr>
          </w:p>
        </w:tc>
        <w:tc>
          <w:tcPr>
            <w:tcW w:w="20" w:type="dxa"/>
          </w:tcPr>
          <w:p>
            <w:pPr>
              <w:pStyle w:val="4"/>
            </w:pPr>
          </w:p>
        </w:tc>
        <w:tc>
          <w:tcPr>
            <w:tcW w:w="10700" w:type="dxa"/>
            <w:gridSpan w:val="20"/>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900" w:hRule="exac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1700" w:type="dxa"/>
            <w:gridSpan w:val="3"/>
          </w:tcPr>
          <w:p>
            <w:pPr>
              <w:pStyle w:val="4"/>
            </w:pPr>
          </w:p>
        </w:tc>
        <w:tc>
          <w:tcPr>
            <w:tcW w:w="300" w:type="dxa"/>
          </w:tcPr>
          <w:p>
            <w:pPr>
              <w:pStyle w:val="4"/>
            </w:pPr>
          </w:p>
        </w:tc>
        <w:tc>
          <w:tcPr>
            <w:tcW w:w="2000" w:type="dxa"/>
            <w:gridSpan w:val="2"/>
          </w:tcPr>
          <w:p>
            <w:pPr>
              <w:pStyle w:val="4"/>
            </w:pP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2580" w:type="dxa"/>
            <w:gridSpan w:val="4"/>
          </w:tcPr>
          <w:p>
            <w:pPr>
              <w:pStyle w:val="4"/>
            </w:pPr>
          </w:p>
        </w:tc>
        <w:tc>
          <w:tcPr>
            <w:tcW w:w="800" w:type="dxa"/>
            <w:gridSpan w:val="2"/>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tcW w:w="400" w:type="dxa"/>
          </w:tcPr>
          <w:p>
            <w:pPr>
              <w:pStyle w:val="4"/>
            </w:pPr>
          </w:p>
        </w:tc>
        <w:tc>
          <w:tcPr>
            <w:tcW w:w="2400" w:type="dxa"/>
            <w:gridSpan w:val="2"/>
          </w:tcPr>
          <w:p>
            <w:pPr>
              <w:pStyle w:val="4"/>
            </w:pPr>
          </w:p>
        </w:tc>
        <w:tc>
          <w:tcPr>
            <w:tcW w:w="400" w:type="dxa"/>
            <w:gridSpan w:val="2"/>
          </w:tcPr>
          <w:p>
            <w:pPr>
              <w:pStyle w:val="4"/>
            </w:pPr>
          </w:p>
        </w:tc>
        <w:tc>
          <w:tcPr>
            <w:tcW w:w="100" w:type="dxa"/>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兴银理财指数新动力2号商品及金融衍生品类净值型理财产品2021年年度报告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480" w:hRule="atLeast"/>
        </w:trPr>
        <w:tc>
          <w:tcPr>
            <w:tcW w:w="1" w:type="dxa"/>
          </w:tcPr>
          <w:p>
            <w:pPr>
              <w:pStyle w:val="4"/>
            </w:pPr>
          </w:p>
        </w:tc>
        <w:tc>
          <w:tcPr>
            <w:tcW w:w="10700" w:type="dxa"/>
            <w:gridSpan w:val="19"/>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600" w:hRule="exact"/>
        </w:trPr>
        <w:tc>
          <w:tcPr>
            <w:tcW w:w="1" w:type="dxa"/>
          </w:tcPr>
          <w:p>
            <w:pPr>
              <w:pStyle w:val="4"/>
            </w:pPr>
          </w:p>
        </w:tc>
        <w:tc>
          <w:tcPr>
            <w:tcW w:w="20" w:type="dxa"/>
          </w:tcPr>
          <w:p>
            <w:pPr>
              <w:pStyle w:val="4"/>
            </w:pPr>
          </w:p>
        </w:tc>
        <w:tc>
          <w:tcPr>
            <w:tcW w:w="10700" w:type="dxa"/>
            <w:gridSpan w:val="20"/>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jc w:val="center"/>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hint="eastAsia" w:ascii="宋体" w:hAnsi="宋体" w:eastAsia="宋体" w:cs="宋体"/>
                            <w:color w:val="000000"/>
                            <w:sz w:val="21"/>
                          </w:rPr>
                          <w:t>0.01</w:t>
                        </w:r>
                      </w:p>
                    </w:tc>
                  </w:tr>
                </w:tbl>
                <w:p>
                  <w:pPr>
                    <w:pStyle w:val="4"/>
                    <w:jc w:val="cente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jc w:val="center"/>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hint="eastAsia"/>
                          </w:rPr>
                          <w:t>2</w:t>
                        </w:r>
                      </w:p>
                    </w:tc>
                  </w:tr>
                </w:tbl>
                <w:p>
                  <w:pPr>
                    <w:pStyle w:val="4"/>
                    <w:jc w:val="center"/>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rPr>
                            <w:rFonts w:hint="eastAsia" w:eastAsiaTheme="minorEastAsia"/>
                            <w:lang w:val="en-US" w:eastAsia="zh-CN"/>
                          </w:rPr>
                        </w:pPr>
                        <w:r>
                          <w:rPr>
                            <w:rFonts w:hint="eastAsia"/>
                            <w:lang w:val="en-US" w:eastAsia="zh-CN"/>
                          </w:rPr>
                          <w:t>衍生品</w:t>
                        </w:r>
                        <w:bookmarkStart w:id="6" w:name="_GoBack"/>
                        <w:bookmarkEnd w:id="6"/>
                      </w:p>
                    </w:tc>
                  </w:tr>
                </w:tbl>
                <w:p>
                  <w:pPr>
                    <w:pStyle w:val="4"/>
                    <w:jc w:val="center"/>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hint="eastAsia" w:ascii="宋体" w:hAnsi="宋体" w:eastAsia="宋体" w:cs="宋体"/>
                            <w:color w:val="000000"/>
                            <w:sz w:val="21"/>
                          </w:rPr>
                          <w:t>99.99</w:t>
                        </w:r>
                      </w:p>
                    </w:tc>
                  </w:tr>
                </w:tbl>
                <w:p>
                  <w:pPr>
                    <w:pStyle w:val="4"/>
                    <w:jc w:val="cente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jc w:val="center"/>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center"/>
                  </w:pPr>
                  <w:r>
                    <w:rPr>
                      <w:rFonts w:hint="eastAsia"/>
                    </w:rPr>
                    <w:t>3</w:t>
                  </w: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jc w:val="center"/>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jc w:val="center"/>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vAlign w:val="cente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jc w:val="center"/>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084"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580" w:hRule="atLeast"/>
        </w:trPr>
        <w:tc>
          <w:tcPr>
            <w:tcW w:w="1" w:type="dxa"/>
          </w:tcPr>
          <w:p>
            <w:pPr>
              <w:pStyle w:val="4"/>
            </w:pPr>
          </w:p>
        </w:tc>
        <w:tc>
          <w:tcPr>
            <w:tcW w:w="10700" w:type="dxa"/>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9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823" w:hRule="exact"/>
        </w:trPr>
        <w:tc>
          <w:tcPr>
            <w:tcW w:w="1" w:type="dxa"/>
          </w:tcPr>
          <w:p>
            <w:pPr>
              <w:pStyle w:val="4"/>
            </w:pPr>
          </w:p>
        </w:tc>
        <w:tc>
          <w:tcPr>
            <w:tcW w:w="10700" w:type="dxa"/>
            <w:gridSpan w:val="19"/>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tbl>
                  <w:tblPr>
                    <w:tblStyle w:val="3"/>
                    <w:tblW w:w="2000" w:type="dxa"/>
                    <w:tblInd w:w="0" w:type="dxa"/>
                    <w:tblLayout w:type="fixed"/>
                    <w:tblCellMar>
                      <w:top w:w="0" w:type="dxa"/>
                      <w:left w:w="10" w:type="dxa"/>
                      <w:bottom w:w="0" w:type="dxa"/>
                      <w:right w:w="10" w:type="dxa"/>
                    </w:tblCellMar>
                  </w:tblPr>
                  <w:tblGrid>
                    <w:gridCol w:w="1000"/>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c>
                      <w:tcPr>
                        <w:tcW w:w="1000" w:type="dxa"/>
                        <w:shd w:val="clear" w:color="auto" w:fill="BFBFBF"/>
                        <w:tcMar>
                          <w:top w:w="0" w:type="dxa"/>
                          <w:left w:w="0" w:type="dxa"/>
                          <w:bottom w:w="0" w:type="dxa"/>
                          <w:right w:w="0" w:type="dxa"/>
                        </w:tcMar>
                        <w:vAlign w:val="center"/>
                      </w:tcPr>
                      <w:p>
                        <w:pPr>
                          <w:jc w:val="center"/>
                          <w:rPr>
                            <w:rFonts w:ascii="宋体" w:hAnsi="宋体" w:eastAsia="宋体" w:cs="宋体"/>
                            <w:b/>
                            <w:color w:val="000000"/>
                            <w:sz w:val="21"/>
                          </w:rPr>
                        </w:pPr>
                      </w:p>
                    </w:tc>
                  </w:tr>
                </w:tbl>
                <w:p>
                  <w:pPr>
                    <w:pStyle w:val="4"/>
                    <w:jc w:val="center"/>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jc w:val="center"/>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jc w:val="center"/>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jc w:val="center"/>
                  </w:pPr>
                </w:p>
              </w:tc>
            </w:tr>
            <w:tr>
              <w:tblPrEx>
                <w:tblLayout w:type="fixed"/>
                <w:tblCellMar>
                  <w:top w:w="0" w:type="dxa"/>
                  <w:left w:w="10" w:type="dxa"/>
                  <w:bottom w:w="0" w:type="dxa"/>
                  <w:right w:w="10" w:type="dxa"/>
                </w:tblCellMar>
              </w:tblPrEx>
              <w:trPr>
                <w:trHeight w:val="466"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ascii="宋体" w:hAnsi="宋体" w:eastAsia="宋体" w:cs="宋体"/>
                      <w:color w:val="000000"/>
                      <w:sz w:val="21"/>
                    </w:rPr>
                  </w:pPr>
                  <w:r>
                    <w:rPr>
                      <w:rFonts w:hint="eastAsia" w:ascii="宋体" w:hAnsi="宋体" w:eastAsia="宋体" w:cs="宋体"/>
                      <w:color w:val="000000"/>
                      <w:sz w:val="21"/>
                    </w:rPr>
                    <w:t>1</w:t>
                  </w: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ascii="宋体" w:hAnsi="宋体" w:eastAsia="宋体" w:cs="宋体"/>
                      <w:color w:val="000000"/>
                      <w:sz w:val="21"/>
                    </w:rPr>
                  </w:pPr>
                  <w:r>
                    <w:rPr>
                      <w:rFonts w:hint="eastAsia" w:ascii="宋体" w:hAnsi="宋体" w:eastAsia="宋体" w:cs="宋体"/>
                      <w:color w:val="000000"/>
                      <w:sz w:val="21"/>
                    </w:rPr>
                    <w:t>收益互换</w:t>
                  </w: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74</w:t>
                  </w:r>
                  <w:r>
                    <w:rPr>
                      <w:rFonts w:hint="eastAsia" w:ascii="宋体" w:hAnsi="宋体" w:eastAsia="宋体" w:cs="宋体"/>
                      <w:color w:val="000000"/>
                      <w:sz w:val="21"/>
                    </w:rPr>
                    <w:t>,</w:t>
                  </w:r>
                  <w:r>
                    <w:rPr>
                      <w:rFonts w:ascii="宋体" w:hAnsi="宋体" w:eastAsia="宋体" w:cs="宋体"/>
                      <w:color w:val="000000"/>
                      <w:sz w:val="21"/>
                    </w:rPr>
                    <w:t>706</w:t>
                  </w:r>
                  <w:r>
                    <w:rPr>
                      <w:rFonts w:hint="eastAsia" w:ascii="宋体" w:hAnsi="宋体" w:eastAsia="宋体" w:cs="宋体"/>
                      <w:color w:val="000000"/>
                      <w:sz w:val="21"/>
                    </w:rPr>
                    <w:t>,</w:t>
                  </w:r>
                  <w:r>
                    <w:rPr>
                      <w:rFonts w:ascii="宋体" w:hAnsi="宋体" w:eastAsia="宋体" w:cs="宋体"/>
                      <w:color w:val="000000"/>
                      <w:sz w:val="21"/>
                    </w:rPr>
                    <w:t>069.69</w:t>
                  </w: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ascii="宋体" w:hAnsi="宋体" w:eastAsia="宋体" w:cs="宋体"/>
                      <w:color w:val="000000"/>
                      <w:sz w:val="21"/>
                    </w:rPr>
                  </w:pPr>
                  <w:r>
                    <w:rPr>
                      <w:rFonts w:hint="eastAsia" w:ascii="宋体" w:hAnsi="宋体" w:eastAsia="宋体" w:cs="宋体"/>
                      <w:color w:val="000000"/>
                      <w:sz w:val="21"/>
                    </w:rPr>
                    <w:t>99.37</w:t>
                  </w:r>
                </w:p>
              </w:tc>
            </w:tr>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ascii="宋体" w:hAnsi="宋体" w:eastAsia="宋体" w:cs="宋体"/>
                      <w:color w:val="000000"/>
                      <w:sz w:val="21"/>
                    </w:rPr>
                  </w:pPr>
                  <w:r>
                    <w:rPr>
                      <w:rFonts w:hint="eastAsia" w:ascii="宋体" w:hAnsi="宋体" w:eastAsia="宋体" w:cs="宋体"/>
                      <w:color w:val="000000"/>
                      <w:sz w:val="21"/>
                    </w:rPr>
                    <w:t>2</w:t>
                  </w: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OPTION20210929000068194</w:t>
                  </w: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ascii="宋体" w:hAnsi="宋体" w:eastAsia="宋体" w:cs="宋体"/>
                      <w:color w:val="000000"/>
                      <w:sz w:val="21"/>
                    </w:rPr>
                  </w:pPr>
                  <w:r>
                    <w:rPr>
                      <w:rFonts w:ascii="宋体" w:hAnsi="宋体" w:eastAsia="宋体" w:cs="宋体"/>
                      <w:color w:val="000000"/>
                      <w:sz w:val="21"/>
                    </w:rPr>
                    <w:t>4</w:t>
                  </w:r>
                  <w:r>
                    <w:rPr>
                      <w:rFonts w:hint="eastAsia" w:ascii="宋体" w:hAnsi="宋体" w:eastAsia="宋体" w:cs="宋体"/>
                      <w:color w:val="000000"/>
                      <w:sz w:val="21"/>
                    </w:rPr>
                    <w:t>,</w:t>
                  </w:r>
                  <w:r>
                    <w:rPr>
                      <w:rFonts w:ascii="宋体" w:hAnsi="宋体" w:eastAsia="宋体" w:cs="宋体"/>
                      <w:color w:val="000000"/>
                      <w:sz w:val="21"/>
                    </w:rPr>
                    <w:t>261</w:t>
                  </w:r>
                  <w:r>
                    <w:rPr>
                      <w:rFonts w:hint="eastAsia" w:ascii="宋体" w:hAnsi="宋体" w:eastAsia="宋体" w:cs="宋体"/>
                      <w:color w:val="000000"/>
                      <w:sz w:val="21"/>
                    </w:rPr>
                    <w:t>,</w:t>
                  </w:r>
                  <w:r>
                    <w:rPr>
                      <w:rFonts w:ascii="宋体" w:hAnsi="宋体" w:eastAsia="宋体" w:cs="宋体"/>
                      <w:color w:val="000000"/>
                      <w:sz w:val="21"/>
                    </w:rPr>
                    <w:t>915.72</w:t>
                  </w: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vAlign w:val="center"/>
                </w:tcPr>
                <w:p>
                  <w:pPr>
                    <w:jc w:val="center"/>
                    <w:rPr>
                      <w:rFonts w:ascii="宋体" w:hAnsi="宋体" w:eastAsia="宋体" w:cs="宋体"/>
                      <w:color w:val="000000"/>
                      <w:sz w:val="21"/>
                    </w:rPr>
                  </w:pPr>
                  <w:r>
                    <w:rPr>
                      <w:rFonts w:hint="eastAsia" w:ascii="宋体" w:hAnsi="宋体" w:eastAsia="宋体" w:cs="宋体"/>
                      <w:color w:val="000000"/>
                      <w:sz w:val="21"/>
                    </w:rPr>
                    <w:t>5.67</w:t>
                  </w:r>
                </w:p>
              </w:tc>
            </w:tr>
          </w:tbl>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90" w:hRule="exac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6"/>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tcW w:w="3300" w:type="dxa"/>
            <w:gridSpan w:val="6"/>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兴银理财指数新动力2号商品及金融衍生品类净值型理财产品2021年年度报告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9"/>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9"/>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584" w:hRule="exact"/>
        </w:trPr>
        <w:tc>
          <w:tcPr>
            <w:tcW w:w="1" w:type="dxa"/>
          </w:tcPr>
          <w:p>
            <w:pPr>
              <w:pStyle w:val="4"/>
            </w:pPr>
          </w:p>
        </w:tc>
        <w:tc>
          <w:tcPr>
            <w:tcW w:w="40" w:type="dxa"/>
            <w:gridSpan w:val="2"/>
          </w:tcPr>
          <w:p>
            <w:pPr>
              <w:pStyle w:val="4"/>
            </w:pPr>
          </w:p>
        </w:tc>
        <w:tc>
          <w:tcPr>
            <w:tcW w:w="10700" w:type="dxa"/>
            <w:gridSpan w:val="21"/>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051010100101267964</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兴银理财指数新动力2号商品及金融衍生品类净值型理财产品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15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Pr>
          <w:p>
            <w:pPr>
              <w:pStyle w:val="4"/>
            </w:pPr>
          </w:p>
        </w:tc>
        <w:tc>
          <w:tcPr>
            <w:tcW w:w="2000" w:type="dxa"/>
            <w:gridSpan w:val="2"/>
          </w:tcPr>
          <w:p>
            <w:pPr>
              <w:pStyle w:val="4"/>
            </w:pPr>
          </w:p>
        </w:tc>
        <w:tc>
          <w:tcPr>
            <w:tcW w:w="3300" w:type="dxa"/>
            <w:gridSpan w:val="6"/>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623" w:hRule="atLeast"/>
        </w:trPr>
        <w:tc>
          <w:tcPr>
            <w:tcW w:w="1" w:type="dxa"/>
          </w:tcPr>
          <w:p>
            <w:pPr>
              <w:pStyle w:val="4"/>
            </w:pPr>
          </w:p>
        </w:tc>
        <w:tc>
          <w:tcPr>
            <w:tcW w:w="10700" w:type="dxa"/>
            <w:gridSpan w:val="19"/>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66"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3"/>
          </w:tcPr>
          <w:p>
            <w:pPr>
              <w:pStyle w:val="4"/>
            </w:pPr>
          </w:p>
        </w:tc>
        <w:tc>
          <w:tcPr>
            <w:tcW w:w="2000" w:type="dxa"/>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tcW w:w="3300" w:type="dxa"/>
            <w:gridSpan w:val="6"/>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800"/>
  <w:compat>
    <w:useFELayout/>
    <w:splitPgBreakAndParaMark/>
    <w:compatSetting w:name="compatibilityMode" w:uri="http://schemas.microsoft.com/office/word" w:val="12"/>
  </w:compat>
  <w:rsids>
    <w:rsidRoot w:val="00000000"/>
    <w:rsid w:val="2047766D"/>
    <w:rsid w:val="63BD4F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sz w:val="21"/>
      <w:szCs w:val="22"/>
    </w:rPr>
  </w:style>
  <w:style w:type="character" w:default="1" w:styleId="2">
    <w:name w:val="Default Paragraph Font"/>
    <w:semiHidden/>
    <w:uiPriority w:val="0"/>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2022-05-05T06:57:00Z</dcterms:created>
  <dc:creator>016709</dc:creator>
  <cp:lastModifiedBy>吴姗</cp:lastModifiedBy>
  <dcterms:modified xsi:type="dcterms:W3CDTF">2022-05-10T01:27:46Z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