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3,662,639,884.68份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产品9K218071自成立日以来，累计净值增长率为12.3190%，年化累计净值增长率为5.9320%。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1.12319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1.12319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4,113,847,464.76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304,842,600.00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20建设银行二级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227,682,620.00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204,324,400.00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21附息国债17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201,969,600.00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200,483,600.00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20苏滨湖建设ZR001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厦门信托-三明交建信托贷款单一资金信托计划（三明市交通建设发展集团有限公司三明分行）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21农业银行CD038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194,453,600.00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华金证券新锐60号券商收益凭证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粤财信托·肇庆国联项目单一资金信托（肇庆市国联投资控股有限公司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bl>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