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兴业银行天天万利宝稳利5号净值型理财产品O款</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兴业银行天天万利宝稳利5号净值型理财产品O款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6,005,046,000份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5,172,919,000.00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稳利增盈优选6号B(私行专属，名单制销售)</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9K219257</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832,127,000.00</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产品9K219157自成立日以来，累计净值增长率为10.6740%，年化累计净值增长率为6.6942%。</w:t>
              <w:br/>
              <w:t xml:space="preserve">产品9K219257自成立日以来，累计净值增长率为10.8430%，年化累计净值增长率为6.8002%。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6,647,443,884.33</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5,725,091,517.73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1.10843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922,352,366.60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8年资深投研经验，曾任职于广发银行股份有限公司、广发证券股份有限公司，2019年加入兴银理财有限责任公司，任固定收益投资部投资经理。投资经验丰富，产品业绩优秀，市场敏感度极强，擅长宏观基本面研究和信用价值挖掘，通过趋势判断和波段交易获取超额收益。</w:t>
              <w:br/>
              <w:t xml:space="preserve">    董国明先生，中国科学院研究生院理学硕士，2013年加入兴业银行，金融从业12年，曾在光大银行等机构任投资经理，现任资产管理事业部权益投资团队主管。</w:t>
              <w:br/>
              <w:t xml:space="preserve">    许娟娟，复旦大学金融学硕士，华东师范大学软件工程硕士。2020年12月加入兴银理财，2019-2020年国泰君安创新投研究部总经理投委会成员，2017-2018年国泰君安创新投(资本公司)投资副总监，2016年国泰君安研究所新兴产业研究中心负责人，2012-2016年国泰君安研究所所长助理研究。2007-2016年历任商贸零售/食品饮料/社会服务研究员，消费组组长，食品饮料和社会服务领域曾获新财富最佳分析师2012-2014年第一名，2015-2016年第二名，2010年第五名。曾获2014年国泰君安证券优秀员工，2019年国泰君安创新投优秀员工。</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7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102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权益方面，2022上半年：财政积极且前置，货币配套稳中偏松，利率平稳且曲线有可能陡峭化，叠加二季度利润增速压力最大，判断上半年风格偏大盘蓝筹。2022 下半年：财政发力趋弱，外部环境剧烈变化，货币配套偏稳，利率曲线上行压力变大，盈利增速缓慢修复，判断风格将再度回归均衡，偏消费+小盘成长。</w:t>
              <w:br/>
              <w:t xml:space="preserve">    与宏观经济周期相关性较低、政策独立性较强以及技术驱动的板块，依旧看好，如双碳、汽车智能化等。</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t xml:space="preserve">    展望一季度，产品将继续保持稳健的投资风格。1、发挥票息策略优势，同时维持中性偏积极的杠杆水平与中性偏积极的组合久期。2、把握住利率反弹时的配置机会。3、关注货币政策可能再次宽松的交易机会。</w:t>
              <w:br/>
              <w:t xml:space="preserve">    预计2022年经济压力仍大，供给端工业生产将恢复正常水平；需求端，出口大概率回落，但仍有韧性，制造业投资韧性仍强，基建投资将有所发力，地产投资将继续下滑，但“循环”修复政策不会失速，消费趋于改善，但幅度有限。财政整体定调积极，节奏前置托底经济；货币政策或稳中偏松 。产业政策或将围绕双碳、共同富裕 、稳增长等主题。</w:t>
              <w:br/>
              <w:t xml:space="preserve">    结合中央经济工作会议对明年经济“稳”要求以及对财政、货币的新表述，展望2022年的A股市场，我们认为政策变化将成为市场的主导。</w:t>
              <w:br/>
              <w:t xml:space="preserve">    22年随着居民消费支出意继续弱化，疫情后出口增速大概率将回落，预计流动性将维持宽松，政策环境维稳，新旧基建和制造业拖底经济，中国经济中枢稳步回落。国际方面中美科技军备竞赛将呈常态化。预计22年将有更多的支持新能源投资、科技创新、促进消费方面的政策出台。我们认为科技创新和新消费仍将是为数不多的、能够保持较快增长的行业。在新消费领域，将围绕疫情后的服务消费恢复、必选消费品成本的周期性下降带来的盈利能力修复以及科技对生活品质的提升展开投资。在科技创新领域，将围绕IOT、新能源、智能汽车、制造业升级领域的软件自主可控、电子设备国产化寻找投资机会。个股方面，将在增速较快的细分领域中，寻找竞争壁垒较高、商业模式清晰，公司治理较好的标的。经过20、21年的充分挖掘，高景气度赛道均面临估值较高、机构持仓较为集中的情况，投资时机方面将更加注重个股估值和业绩增长的匹配度，在较低的位置买入赚取合理的收益。</w:t>
              <w:br/>
            </w: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r>
      <w:tr>
        <w:trPr>
          <w:trHeight w:hRule="exact" w:val="3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8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21农业银行CD101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370,260,980.00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Z京-同业借款20210616002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光大信托-光信？光鑫？湘江1号单一资金信托（湖南湘江新区发展集团有限公司-长沙分行）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华润信托-诸暨市国有资产经营有限公司（杭州分行）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华润信托·润兴123号-南昌水利投资发展有限公司（南昌分行）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光大信托-光信.光鑫.渝中1号单一资金信托（重庆分行-重庆渝中国有资产经营管理有限公司）</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云南信托-2020赢智17号单一资金信托（太原分行 龙投）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20苏连云港城建ZR001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华润信托·润兴122号-南昌水利投资发展有限公司（南昌分行）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20苏徐州交控ZR002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w:t>
                        </w:r>
                      </w:p>
                    </w:tc>
                  </w:tr>
                </w:tbl>
                <w:p>
                  <w:pPr>
                    <w:pStyle w:val="EMPTY_CELL_STYLE"/>
                  </w:pPr>
                </w:p>
              </w:tc>
            </w:tr>
          </w:tbl>
          <w:p>
            <w:pPr>
              <w:pStyle w:val="EMPTY_CELL_STYLE"/>
            </w:pPr>
          </w:p>
        </w:tc>
        <w:tc>
          <w:tcPr>
     </w:tcPr>
          <w:p>
            <w:pPr>
              <w:pStyle w:val="EMPTY_CELL_STYLE"/>
            </w:pPr>
          </w:p>
        </w:tc>
      </w:tr>
      <w:tr>
        <w:trPr>
          <w:trHeight w:hRule="exact" w:val="2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兴业银行天天万利宝稳利5号净值型理财产品O款2021年年度报告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21杭金投MTN002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18越秀金融MTN001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21保利发展MTN002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9K219057</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21江北公用MTN003(可持续挂钩)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051010100100875355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兴业理财托管专户天天万利宝稳利5号净值型O款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