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3,352,447,000份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627,098,000.00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产品9K219158自成立日以来，累计净值增长率为7.4570%，年化累计净值增长率为5.0404%。</w:t>
              <w:br/>
              <w:t xml:space="preserve">产品9K219258自成立日以来，累计净值增长率为7.6130%，年化累计净值增长率为5.1458%。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3,603,413,985.83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2,928,576,114.53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674,837,871.30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全年，国内经济增速回落。政策方面，货币政策由紧转松。在宽松政策的支持下，银行间资金利率回落。债市方面，债券市场收益率总体回落。股市方面，呈现结构性行情，成长股、周期股表现较好，消费股、金融股表现不佳。本报告期内，本组合维持中高久期和中高权益仓位，并配置了一些可转债资产，有效增厚了组合收益。。</w:t>
              <w:br/>
              <w:t xml:space="preserve">     展望2022年，上半年经济回落概率较大。货币政策方面，预计会延续宽松。综合来看，债券趋牛市格局仍可能延续，但配置价值一般，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206,739,518.93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186,044,506.81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185,767,054.73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91,945,980.00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