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8,422,394,664.61份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产品9K219063自成立日以来，累计净值增长率为12.2650%，年化累计净值增长率为6.7218%。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1.12265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8,865,833,623.57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兴业银行资产管理部固定收益处，2019年入职兴银理财有限责任公司，现任固定收益投资经理。投资理念追求收益性和安全性兼顾，获得持续稳定回报，擅长方向通过信用研究和挖掘获取超额收益，并通过利差变化寻求交易性机会。</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股票方面，2021年股票市场指数波动区间相对较小，但行业间收益率差异却很显著且波动较大，全年而言传统周期性行业表现亮眼，电气设备、公用事业在双碳目标下获得市场认可，相对的，受到上游原材料涨价冲击和地产景气度下行影响的家电、受疫情压制的社会服务、受政策压制的医药等行业表现较弱。今年市场在5月之后呈现了较为显著的市值下沉特征，中小市值公司表现占优 。在11月底左右完成股票建仓，组合构建以均衡为主，景气趋势部分以新型电网、绿电运营、汽车零部件为主，左侧布局预期明年基本面改善的家电、电子、计算机，各一级行业或投资线索下偏好所处行业供给格局较佳的龙头优势标的。</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股票方面，展望2022年，上市公司盈利增速预计偏冷，但稳增长的的政策预计会加码，对资本市场相对友好。预计指数层面仍呈震荡格局，股票市场出现系统性风险的可能性较低，结构性机会仍然会较多。重点看好双碳目标下相关收益的标的、受益于稳增长政策的相关行业、疫情得到控制下受益于消费场景恢复的相关子行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776,640,800.00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291,687,900.00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249,888,000.00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194,233,800.00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194,233,800.00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