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兴银理财睿盈优选平衡6号混合类净值型理财产品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兴银理财睿盈优选平衡6号混合类净值型理财产品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7,846,551,360.32份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产品9K220006自成立日以来，累计净值增长率为7.3780%，年化累计净值增长率为5.4624%。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1.05378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1.07378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8,268,576,347.19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世界经济系硕士，复旦大学经济学（数理经济方向）学士，具有9年固定收益投资交易经验，曾任职于东海证券固定收益部、兴业银行资产管理部。2019年入职兴银理财有限责任公司，现任固定收益部投资经理。</w:t>
              <w:br/>
              <w:t xml:space="preserve">    许娟娟，复旦大学金融学硕士，华东师范大学软件工程硕士。2020年12月加入兴银理财，2019-2020年国泰君安创新投研究部总经理投委会成员，2017-2018年国泰君安创新投(资本公司)投资副总监，2016年国泰君安研究所新兴产业研究中心负责人，2012-2016年国泰君安研究所所长助理研究。2007-2016年历任商贸零售/食品饮料/社会服务研究员，消费组组长，食品饮料和社会服务领域曾获新财富最佳分析师2012-2014年第一名，2015-2016年第二名，2010年第五名。曾获2014年国泰君安证券优秀员工，2019年国泰君安创新投优秀员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 </w:t>
              <w:br/>
              <w:t xml:space="preserve">    22年随着居民消费支出意继续弱化，疫情后出口增速大概率将回落，预计流动性将维持宽松，政策环境维稳，新旧基建和制造业拖底经济，中国经济中枢稳步回落。国际方面中美科技军备竞赛将呈常态化。预计22年将有更多的支持新能源投资、科技创新、促进消费方面的政策出台。我们认为科技创新和新消费仍将是为数不多的、能够保持较快增长的行业。在新消费领域，将围绕疫情后的服务消费恢复、必选消费品成本的周期性下降带来的盈利能力修复以及科技对生活品质的提升展开投资。在科技创新领域，将围绕IOT、新能源、智能汽车、制造业升级领域的软件自主可控、电子设备国产化寻找投资机会。个股方面，将在增速较快的细分领域中，寻找竞争壁垒较高、商业模式清晰，公司治理较好的标的。经过20、21年的充分挖掘，高景气度赛道均面临估值较高、机构持仓较为集中的情况，投资时机方面将更加注重个股估值和业绩增长的匹配度，在较低的位置买入赚取合理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21民生银行CD152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783,715,200.00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414,320,580.00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400,143,200.00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21浦发银行CD234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389,734,800.00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21平安银行CD087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388,307,200.00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388,253,600.00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302,786,100.00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300,928,885.34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21光大银行CD140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292,332,600.00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292,286,400.00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20汇金MTN009A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20蓉城文化MTN002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21越秀集团MTN002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兴银理财睿盈优选平衡6号混合类净值型理财产品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