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兴银理财万汇通1号J款美元净值型理财产品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兴银理财万汇通1号J款美元净值型理财产品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9W210100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Z7002021000177</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37,330,064.7份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万汇通汇盈1号J款A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9W21010A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29,845,664.96</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万汇通汇盈1号J款B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9W21010B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7,484,399.74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产品9W21010A自成立日以来，累计净值增长率为-0.0680%，年化累计净值增长率为-0.2298%。</w:t>
            </w:r>
            <w:r>
              <w:rPr>
                <w:rFonts w:ascii="宋体" w:hAnsi="宋体" w:eastAsia="宋体" w:cs="宋体"/>
                <w:color w:val="000000"/>
                <w:sz w:val="21"/>
              </w:rPr>
              <w:br w:type="textWrapping"/>
            </w:r>
            <w:r>
              <w:rPr>
                <w:rFonts w:ascii="宋体" w:hAnsi="宋体" w:eastAsia="宋体" w:cs="宋体"/>
                <w:color w:val="000000"/>
                <w:sz w:val="21"/>
              </w:rPr>
              <w:t>产品9W21010B自成立日以来，累计净值增长率为-0.0680%，年化累计净值增长率为-0.2298%。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9W210100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37,304,590.00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9W21010A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29,825,265.85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9W21010B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0.99932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7,479,324.15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r>
            <w:r>
              <w:rPr>
                <w:rFonts w:ascii="宋体" w:hAnsi="宋体" w:eastAsia="宋体" w:cs="宋体"/>
                <w:color w:val="000000"/>
                <w:sz w:val="21"/>
              </w:rPr>
              <w:br w:type="textWrapping"/>
            </w:r>
            <w:r>
              <w:rPr>
                <w:rFonts w:ascii="宋体" w:hAnsi="宋体" w:eastAsia="宋体" w:cs="宋体"/>
                <w:color w:val="000000"/>
                <w:sz w:val="21"/>
              </w:rPr>
              <w:t xml:space="preserve">    产品安排了一定规模的年底和明年上半年到期资产，增加组合在缩表敏感时点择机配置的灵活性。从目前组合静态收益率、久期、资产资质情况看，组合整体风险可控。</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6.08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93.92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7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3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7323"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3,780,747.60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10.13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ZZCITY5.705/24/22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3,657,924.00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9.81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ZHANLO57/808/26/22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3,052,239.30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2,749,514.80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CHADEC5.809/18/22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2,106,080.10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GXCMIN31/209/17/22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1,919,038.00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1,793,250.00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1,712,815.00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SHAGAN3.306/01/24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1,490,625.00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1,387,988.10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3.72</w:t>
                        </w:r>
                      </w:p>
                    </w:tc>
                  </w:tr>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4"/>
                  </w:pPr>
                </w:p>
              </w:tc>
            </w:tr>
          </w:tbl>
          <w:p>
            <w:pPr>
              <w:pStyle w:val="4"/>
            </w:pPr>
          </w:p>
          <w:p>
            <w:pPr>
              <w:jc w:val="left"/>
            </w:pPr>
            <w:bookmarkStart w:id="7" w:name="_GoBack"/>
            <w:bookmarkEnd w:id="7"/>
            <w:r>
              <w:rPr>
                <w:rFonts w:hint="eastAsia"/>
              </w:rPr>
              <w:t>本产品季末时点由于市值波动导致被动超标。管理人在合理期限内进行调整，截止到报告披露日，已调整至符合相关要求。</w:t>
            </w:r>
          </w:p>
        </w:tc>
        <w:tc>
          <w:tcPr>
            <w:tcW w:w="1" w:type="dxa"/>
          </w:tcPr>
          <w:p>
            <w:pPr>
              <w:pStyle w:val="4"/>
            </w:pPr>
          </w:p>
        </w:tc>
      </w:tr>
      <w:tr>
        <w:tblPrEx>
          <w:tblLayout w:type="fixed"/>
          <w:tblCellMar>
            <w:top w:w="0" w:type="dxa"/>
            <w:left w:w="10" w:type="dxa"/>
            <w:bottom w:w="0" w:type="dxa"/>
            <w:right w:w="10" w:type="dxa"/>
          </w:tblCellMar>
        </w:tblPrEx>
        <w:trPr>
          <w:trHeight w:val="5194"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兴银理财万汇通1号J款美元净值型理财产品2021年年度报告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216201400100274312</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兴银理财万汇通1号J款美元净值型理财产品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7C9B5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2022-05-05T13:10:27Z</dcterms:created>
  <dc:creator>016709</dc:creator>
  <cp:lastModifiedBy>吴姗</cp:lastModifiedBy>
  <dcterms:modified xsi:type="dcterms:W3CDTF">2022-05-05T13:12:33Z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