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兴银理财睿盈年年升5号净值型理财产品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5,967,517,782.73份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睿盈年年升5号A（股债轮动）</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5,156,841,301.19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睿盈年年升5号B（股债轮动）</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810,676,481.54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产品9K220115自成立日以来，累计净值增长率为7.7010%，年化累计净值增长率为5.3236%。</w:t>
              <w:br/>
              <w:t xml:space="preserve">产品9K220215自成立日以来，累计净值增长率为7.8420%，年化累计净值增长率为5.4211%。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6,308,846,541.39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5,450,809,550.50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858,036,990.89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全年，国内经济增速回落。政策方面，货币政策由紧转松。在宽松政策的支持下，银行间资金利率回落。债市方面，债券市场收益率总体回落。股市方面，呈现结构性行情，成长股、周期股表现较好，消费股、金融股表现不佳。本报告期内，本组合维持中高久期和中高权益仓位，并配置了一些可转债资产，有效增厚了组合收益。。</w:t>
              <w:br/>
              <w:t xml:space="preserve">    展望2022年，上半年经济回落概率较大。货币政策方面，预计会延续宽松。综合来看，债券趋牛市格局仍可能延续，但配置价值一般，需要兼顾防守。权益层面，我们认为没有大的风险，会维持中高仓位的策略。从子板块而言，信用债调整的风险远大于利率品种，组合倾向于配置高等级信用和利率品种。权益层面，预计板块间表现可能会走向均衡。下一阶段，我们将继续保持审慎严谨的态度，进一步优化投资组合，争取为投资人提供稳健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676,198,330.69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637,624,407.58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522,181,949.69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337,468,998.50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工银瑞信产业债A ( 000045.OF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212,459,152.16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173,427,137.00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易方达裕丰回报 ( 000171.OF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152,256,880.58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兴业期货-睿盈5号集合资产管理计划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127,764,970.90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光大添益A ( 360013.OF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124,118,424.35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21建邺国资MTN001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21长沙城投MTN001A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