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600"/>
        <w:gridCol w:w="220"/>
        <w:gridCol w:w="380"/>
        <w:gridCol w:w="740"/>
        <w:gridCol w:w="260"/>
        <w:gridCol w:w="1000"/>
        <w:gridCol w:w="1000"/>
        <w:gridCol w:w="1000"/>
        <w:gridCol w:w="800"/>
        <w:gridCol w:w="1820"/>
        <w:gridCol w:w="480"/>
        <w:gridCol w:w="100"/>
        <w:gridCol w:w="100"/>
        <w:gridCol w:w="1"/>
        <w:gridCol w:w="19"/>
        <w:gridCol w:w="1"/>
        <w:gridCol w:w="19"/>
        <w:gridCol w:w="1"/>
        <w:gridCol w:w="99"/>
        <w:gridCol w:w="160"/>
        <w:gridCol w:w="40"/>
        <w:gridCol w:w="1"/>
      </w:tblGrid>
      <w:tr>
        <w:tblPrEx>
          <w:tblCellMar>
            <w:top w:w="0" w:type="dxa"/>
            <w:left w:w="10" w:type="dxa"/>
            <w:bottom w:w="0" w:type="dxa"/>
            <w:right w:w="10" w:type="dxa"/>
          </w:tblCellMar>
        </w:tblPrEx>
        <w:trPr>
          <w:gridAfter w:val="8"/>
          <w:wAfter w:w="340" w:type="dxa"/>
          <w:trHeight w:val="0" w:hRule="atLeast"/>
        </w:trPr>
        <w:tc>
          <w:p>
            <w:pPr>
              <w:pStyle w:val="4"/>
            </w:pPr>
            <w:bookmarkStart w:id="0" w:name="JR_PAGE_ANCHOR_0_1"/>
            <w:bookmarkEnd w:id="0"/>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8"/>
          <w:wAfter w:w="34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兴业银行“现金宝4号”私人银行类人民币理财产品2021年年度报告</w:t>
            </w:r>
          </w:p>
        </w:tc>
        <w:tc>
          <w:p>
            <w:pPr>
              <w:pStyle w:val="4"/>
            </w:pPr>
          </w:p>
        </w:tc>
      </w:tr>
      <w:tr>
        <w:tblPrEx>
          <w:tblCellMar>
            <w:top w:w="0" w:type="dxa"/>
            <w:left w:w="10" w:type="dxa"/>
            <w:bottom w:w="0" w:type="dxa"/>
            <w:right w:w="10" w:type="dxa"/>
          </w:tblCellMar>
        </w:tblPrEx>
        <w:trPr>
          <w:gridAfter w:val="8"/>
          <w:wAfter w:w="340" w:type="dxa"/>
          <w:trHeight w:val="2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8"/>
          <w:wAfter w:w="34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8"/>
          <w:wAfter w:w="340" w:type="dxa"/>
          <w:trHeight w:val="96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8"/>
          <w:wAfter w:w="340" w:type="dxa"/>
          <w:trHeight w:val="3020" w:hRule="atLeast"/>
        </w:trPr>
        <w:tc>
          <w:p>
            <w:pPr>
              <w:pStyle w:val="4"/>
            </w:pPr>
          </w:p>
        </w:tc>
        <w:tc>
          <w:tcPr>
            <w:gridSpan w:val="17"/>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兴业银行“现金宝4号”私人银行类人民币理财产品</w:t>
            </w:r>
            <w:r>
              <w:rPr>
                <w:rFonts w:ascii="宋体" w:hAnsi="宋体" w:eastAsia="宋体" w:cs="宋体"/>
                <w:b/>
                <w:color w:val="000000"/>
                <w:sz w:val="32"/>
              </w:rPr>
              <w:br w:type="textWrapping"/>
            </w:r>
            <w:r>
              <w:rPr>
                <w:rFonts w:ascii="宋体" w:hAnsi="宋体" w:eastAsia="宋体" w:cs="宋体"/>
                <w:b/>
                <w:color w:val="000000"/>
                <w:sz w:val="32"/>
              </w:rPr>
              <w:t>2021年年度报告</w:t>
            </w:r>
          </w:p>
        </w:tc>
        <w:tc>
          <w:p>
            <w:pPr>
              <w:pStyle w:val="4"/>
            </w:pPr>
          </w:p>
        </w:tc>
      </w:tr>
      <w:tr>
        <w:tblPrEx>
          <w:tblCellMar>
            <w:top w:w="0" w:type="dxa"/>
            <w:left w:w="10" w:type="dxa"/>
            <w:bottom w:w="0" w:type="dxa"/>
            <w:right w:w="10" w:type="dxa"/>
          </w:tblCellMar>
        </w:tblPrEx>
        <w:trPr>
          <w:gridAfter w:val="8"/>
          <w:wAfter w:w="340" w:type="dxa"/>
          <w:trHeight w:val="660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8"/>
          <w:wAfter w:w="340" w:type="dxa"/>
          <w:trHeight w:val="500" w:hRule="atLeast"/>
        </w:trPr>
        <w:tc>
          <w:p>
            <w:pPr>
              <w:pStyle w:val="4"/>
            </w:pPr>
          </w:p>
        </w:tc>
        <w:tc>
          <w:tcPr>
            <w:gridSpan w:val="6"/>
          </w:tcPr>
          <w:p>
            <w:pPr>
              <w:pStyle w:val="4"/>
            </w:pPr>
          </w:p>
        </w:tc>
        <w:tc>
          <w:tcPr>
            <w:gridSpan w:val="8"/>
            <w:tcMar>
              <w:top w:w="0" w:type="dxa"/>
              <w:left w:w="0" w:type="dxa"/>
              <w:bottom w:w="0" w:type="dxa"/>
              <w:right w:w="0" w:type="dxa"/>
            </w:tcMar>
            <w:vAlign w:val="center"/>
          </w:tcPr>
          <w:p>
            <w:pPr>
              <w:jc w:val="left"/>
            </w:pPr>
            <w:r>
              <w:rPr>
                <w:rFonts w:ascii="宋体" w:hAnsi="宋体" w:eastAsia="宋体" w:cs="宋体"/>
                <w:color w:val="000000"/>
                <w:sz w:val="24"/>
              </w:rPr>
              <w:t>理财产品管理人：兴业银行股份有限公司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8"/>
          <w:wAfter w:w="340" w:type="dxa"/>
          <w:trHeight w:val="500" w:hRule="atLeast"/>
        </w:trPr>
        <w:tc>
          <w:p>
            <w:pPr>
              <w:pStyle w:val="4"/>
            </w:pPr>
          </w:p>
        </w:tc>
        <w:tc>
          <w:tcPr>
            <w:gridSpan w:val="6"/>
          </w:tcPr>
          <w:p>
            <w:pPr>
              <w:pStyle w:val="4"/>
            </w:pPr>
          </w:p>
        </w:tc>
        <w:tc>
          <w:tcPr>
            <w:gridSpan w:val="8"/>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8"/>
          <w:wAfter w:w="340" w:type="dxa"/>
          <w:trHeight w:val="500" w:hRule="atLeast"/>
        </w:trPr>
        <w:tc>
          <w:p>
            <w:pPr>
              <w:pStyle w:val="4"/>
            </w:pPr>
          </w:p>
        </w:tc>
        <w:tc>
          <w:tcPr>
            <w:gridSpan w:val="6"/>
          </w:tcPr>
          <w:p>
            <w:pPr>
              <w:pStyle w:val="4"/>
            </w:pPr>
          </w:p>
        </w:tc>
        <w:tc>
          <w:tcPr>
            <w:gridSpan w:val="8"/>
            <w:tcMar>
              <w:top w:w="0" w:type="dxa"/>
              <w:left w:w="0" w:type="dxa"/>
              <w:bottom w:w="0" w:type="dxa"/>
              <w:right w:w="0" w:type="dxa"/>
            </w:tcMar>
            <w:vAlign w:val="center"/>
          </w:tcPr>
          <w:p>
            <w:pPr>
              <w:jc w:val="left"/>
            </w:pPr>
            <w:r>
              <w:rPr>
                <w:rFonts w:ascii="宋体" w:hAnsi="宋体" w:eastAsia="宋体" w:cs="宋体"/>
                <w:color w:val="000000"/>
                <w:sz w:val="24"/>
              </w:rPr>
              <w:t>报告送出日期：2022年5月11日</w:t>
            </w:r>
          </w:p>
        </w:tc>
        <w:tc>
          <w:tcPr>
            <w:gridSpan w:val="3"/>
          </w:tcPr>
          <w:p>
            <w:pPr>
              <w:pStyle w:val="4"/>
            </w:pPr>
          </w:p>
        </w:tc>
        <w:tc>
          <w:p>
            <w:pPr>
              <w:pStyle w:val="4"/>
            </w:pPr>
          </w:p>
        </w:tc>
      </w:tr>
      <w:tr>
        <w:tblPrEx>
          <w:tblCellMar>
            <w:top w:w="0" w:type="dxa"/>
            <w:left w:w="10" w:type="dxa"/>
            <w:bottom w:w="0" w:type="dxa"/>
            <w:right w:w="10" w:type="dxa"/>
          </w:tblCellMar>
        </w:tblPrEx>
        <w:trPr>
          <w:gridAfter w:val="8"/>
          <w:wAfter w:w="340" w:type="dxa"/>
          <w:trHeight w:val="272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8"/>
          <w:wAfter w:w="340" w:type="dxa"/>
          <w:trHeight w:val="400" w:hRule="atLeast"/>
        </w:trPr>
        <w:tc>
          <w:p>
            <w:pPr>
              <w:pStyle w:val="4"/>
            </w:pPr>
          </w:p>
        </w:tc>
        <w:tc>
          <w:tcPr>
            <w:gridSpan w:val="6"/>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8"/>
          <w:wAfter w:w="34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8"/>
          <w:wAfter w:w="34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兴业银行“现金宝4号”私人银行类人民币理财产品2021年年度报告</w:t>
            </w:r>
          </w:p>
        </w:tc>
        <w:tc>
          <w:p>
            <w:pPr>
              <w:pStyle w:val="4"/>
            </w:pPr>
          </w:p>
        </w:tc>
      </w:tr>
      <w:tr>
        <w:tblPrEx>
          <w:tblCellMar>
            <w:top w:w="0" w:type="dxa"/>
            <w:left w:w="10" w:type="dxa"/>
            <w:bottom w:w="0" w:type="dxa"/>
            <w:right w:w="10" w:type="dxa"/>
          </w:tblCellMar>
        </w:tblPrEx>
        <w:trPr>
          <w:gridAfter w:val="8"/>
          <w:wAfter w:w="34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8"/>
          <w:wAfter w:w="34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8"/>
          <w:wAfter w:w="34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8"/>
          <w:wAfter w:w="34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8"/>
          <w:wAfter w:w="34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8"/>
          <w:wAfter w:w="340" w:type="dxa"/>
          <w:trHeight w:val="6840" w:hRule="atLeast"/>
        </w:trPr>
        <w:tc>
          <w:p>
            <w:pPr>
              <w:pStyle w:val="4"/>
            </w:pPr>
          </w:p>
        </w:tc>
        <w:tc>
          <w:tcPr>
            <w:gridSpan w:val="3"/>
          </w:tcPr>
          <w:p>
            <w:pPr>
              <w:pStyle w:val="4"/>
            </w:pPr>
          </w:p>
        </w:tc>
        <w:tc>
          <w:tcPr>
            <w:gridSpan w:val="12"/>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理财托管机构报告</w:t>
            </w:r>
            <w:r>
              <w:rPr>
                <w:rFonts w:ascii="宋体" w:hAnsi="宋体" w:eastAsia="宋体" w:cs="宋体"/>
                <w:color w:val="000000"/>
                <w:sz w:val="21"/>
              </w:rPr>
              <w:br w:type="textWrapping"/>
            </w:r>
            <w:r>
              <w:rPr>
                <w:rFonts w:ascii="宋体" w:hAnsi="宋体" w:eastAsia="宋体" w:cs="宋体"/>
                <w:color w:val="000000"/>
                <w:sz w:val="21"/>
              </w:rPr>
              <w:t>§ 七. 审计报告</w:t>
            </w:r>
            <w:r>
              <w:rPr>
                <w:rFonts w:ascii="宋体" w:hAnsi="宋体" w:eastAsia="宋体" w:cs="宋体"/>
                <w:color w:val="000000"/>
                <w:sz w:val="21"/>
              </w:rPr>
              <w:br w:type="textWrapping"/>
            </w:r>
            <w:r>
              <w:rPr>
                <w:rFonts w:ascii="宋体" w:hAnsi="宋体" w:eastAsia="宋体" w:cs="宋体"/>
                <w:color w:val="000000"/>
                <w:sz w:val="21"/>
              </w:rPr>
              <w:t>§ 八.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r>
              <w:rPr>
                <w:rFonts w:ascii="宋体" w:hAnsi="宋体" w:eastAsia="宋体" w:cs="宋体"/>
                <w:color w:val="000000"/>
                <w:sz w:val="21"/>
              </w:rPr>
              <w:br w:type="textWrapping"/>
            </w:r>
            <w:r>
              <w:rPr>
                <w:rFonts w:ascii="宋体" w:hAnsi="宋体" w:eastAsia="宋体" w:cs="宋体"/>
                <w:color w:val="000000"/>
                <w:sz w:val="21"/>
              </w:rPr>
              <w:t xml:space="preserve">     7. 理财份额投资人信息</w:t>
            </w:r>
            <w:r>
              <w:rPr>
                <w:rFonts w:ascii="宋体" w:hAnsi="宋体" w:eastAsia="宋体" w:cs="宋体"/>
                <w:color w:val="000000"/>
                <w:sz w:val="21"/>
              </w:rPr>
              <w:br w:type="textWrapping"/>
            </w:r>
            <w:r>
              <w:rPr>
                <w:rFonts w:ascii="宋体" w:hAnsi="宋体" w:eastAsia="宋体" w:cs="宋体"/>
                <w:color w:val="000000"/>
                <w:sz w:val="21"/>
              </w:rPr>
              <w:t xml:space="preserve">     8. 影响理财份额投资人决策的其他重要信息</w:t>
            </w:r>
          </w:p>
        </w:tc>
        <w:tc>
          <w:tcPr>
            <w:gridSpan w:val="2"/>
          </w:tcPr>
          <w:p>
            <w:pPr>
              <w:pStyle w:val="4"/>
            </w:pPr>
          </w:p>
        </w:tc>
        <w:tc>
          <w:p>
            <w:pPr>
              <w:pStyle w:val="4"/>
            </w:pPr>
          </w:p>
        </w:tc>
      </w:tr>
      <w:tr>
        <w:tblPrEx>
          <w:tblCellMar>
            <w:top w:w="0" w:type="dxa"/>
            <w:left w:w="10" w:type="dxa"/>
            <w:bottom w:w="0" w:type="dxa"/>
            <w:right w:w="10" w:type="dxa"/>
          </w:tblCellMar>
        </w:tblPrEx>
        <w:trPr>
          <w:gridAfter w:val="8"/>
          <w:wAfter w:w="34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8"/>
          <w:wAfter w:w="340" w:type="dxa"/>
          <w:trHeight w:val="400" w:hRule="atLeast"/>
        </w:trPr>
        <w:tc>
          <w:p>
            <w:pPr>
              <w:pStyle w:val="4"/>
            </w:pPr>
          </w:p>
        </w:tc>
        <w:tc>
          <w:tcPr>
            <w:gridSpan w:val="3"/>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8"/>
          <w:wAfter w:w="34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兴业银行“现金宝4号”私人银行类人民币理财产品2021年年度报告</w:t>
            </w:r>
          </w:p>
        </w:tc>
        <w:tc>
          <w:p>
            <w:pPr>
              <w:pStyle w:val="4"/>
            </w:pPr>
          </w:p>
        </w:tc>
      </w:tr>
      <w:tr>
        <w:tblPrEx>
          <w:tblCellMar>
            <w:top w:w="0" w:type="dxa"/>
            <w:left w:w="10" w:type="dxa"/>
            <w:bottom w:w="0" w:type="dxa"/>
            <w:right w:w="10" w:type="dxa"/>
          </w:tblCellMar>
        </w:tblPrEx>
        <w:trPr>
          <w:gridAfter w:val="8"/>
          <w:wAfter w:w="340" w:type="dxa"/>
          <w:trHeight w:val="2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8"/>
          <w:wAfter w:w="340" w:type="dxa"/>
          <w:trHeight w:val="6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8"/>
          <w:wAfter w:w="340" w:type="dxa"/>
          <w:trHeight w:val="2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3080" w:hRule="atLeast"/>
        </w:trPr>
        <w:tc>
          <w:p>
            <w:pPr>
              <w:pStyle w:val="4"/>
            </w:pPr>
          </w:p>
        </w:tc>
        <w:tc>
          <w:tcPr>
            <w:gridSpan w:val="17"/>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兴业银行股份有限公司保留对所有文字说明的最终解释权。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8"/>
          <w:wAfter w:w="340" w:type="dxa"/>
          <w:trHeight w:val="6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8"/>
          <w:wAfter w:w="340" w:type="dxa"/>
          <w:trHeight w:val="2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兴业银行“现金宝4号”私人银行类人民币理财产品</w:t>
            </w:r>
          </w:p>
        </w:tc>
        <w:tc>
          <w:p>
            <w:pPr>
              <w:pStyle w:val="4"/>
            </w:pPr>
          </w:p>
        </w:tc>
      </w:tr>
      <w:tr>
        <w:tblPrEx>
          <w:tblCellMar>
            <w:top w:w="0" w:type="dxa"/>
            <w:left w:w="10" w:type="dxa"/>
            <w:bottom w:w="0" w:type="dxa"/>
            <w:right w:w="10" w:type="dxa"/>
          </w:tblCellMar>
        </w:tblPrEx>
        <w:trPr>
          <w:gridAfter w:val="8"/>
          <w:wAfter w:w="3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84212041</w:t>
            </w:r>
          </w:p>
        </w:tc>
        <w:tc>
          <w:p>
            <w:pPr>
              <w:pStyle w:val="4"/>
            </w:pPr>
          </w:p>
        </w:tc>
      </w:tr>
      <w:tr>
        <w:tblPrEx>
          <w:tblCellMar>
            <w:top w:w="0" w:type="dxa"/>
            <w:left w:w="10" w:type="dxa"/>
            <w:bottom w:w="0" w:type="dxa"/>
            <w:right w:w="10" w:type="dxa"/>
          </w:tblCellMar>
        </w:tblPrEx>
        <w:trPr>
          <w:gridAfter w:val="8"/>
          <w:wAfter w:w="3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C1030912001325</w:t>
            </w:r>
          </w:p>
        </w:tc>
        <w:tc>
          <w:p>
            <w:pPr>
              <w:pStyle w:val="4"/>
            </w:pPr>
          </w:p>
        </w:tc>
      </w:tr>
      <w:tr>
        <w:tblPrEx>
          <w:tblCellMar>
            <w:top w:w="0" w:type="dxa"/>
            <w:left w:w="10" w:type="dxa"/>
            <w:bottom w:w="0" w:type="dxa"/>
            <w:right w:w="10" w:type="dxa"/>
          </w:tblCellMar>
        </w:tblPrEx>
        <w:trPr>
          <w:gridAfter w:val="8"/>
          <w:wAfter w:w="3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8"/>
          <w:wAfter w:w="3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8"/>
          <w:wAfter w:w="3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8"/>
          <w:wAfter w:w="3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10,341,210,258.88份</w:t>
            </w:r>
          </w:p>
        </w:tc>
        <w:tc>
          <w:p>
            <w:pPr>
              <w:pStyle w:val="4"/>
            </w:pPr>
          </w:p>
        </w:tc>
      </w:tr>
      <w:tr>
        <w:tblPrEx>
          <w:tblCellMar>
            <w:top w:w="0" w:type="dxa"/>
            <w:left w:w="10" w:type="dxa"/>
            <w:bottom w:w="0" w:type="dxa"/>
            <w:right w:w="10" w:type="dxa"/>
          </w:tblCellMar>
        </w:tblPrEx>
        <w:trPr>
          <w:gridAfter w:val="8"/>
          <w:wAfter w:w="3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通知存款七天+浮动基数0%</w:t>
            </w:r>
          </w:p>
        </w:tc>
        <w:tc>
          <w:p>
            <w:pPr>
              <w:pStyle w:val="4"/>
            </w:pPr>
          </w:p>
        </w:tc>
      </w:tr>
      <w:tr>
        <w:tblPrEx>
          <w:tblCellMar>
            <w:top w:w="0" w:type="dxa"/>
            <w:left w:w="10" w:type="dxa"/>
            <w:bottom w:w="0" w:type="dxa"/>
            <w:right w:w="10" w:type="dxa"/>
          </w:tblCellMar>
        </w:tblPrEx>
        <w:trPr>
          <w:gridAfter w:val="8"/>
          <w:wAfter w:w="3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8"/>
          <w:wAfter w:w="3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R1</w:t>
            </w:r>
          </w:p>
        </w:tc>
        <w:tc>
          <w:p>
            <w:pPr>
              <w:pStyle w:val="4"/>
            </w:pPr>
          </w:p>
        </w:tc>
      </w:tr>
      <w:tr>
        <w:tblPrEx>
          <w:tblCellMar>
            <w:top w:w="0" w:type="dxa"/>
            <w:left w:w="10" w:type="dxa"/>
            <w:bottom w:w="0" w:type="dxa"/>
            <w:right w:w="10" w:type="dxa"/>
          </w:tblCellMar>
        </w:tblPrEx>
        <w:trPr>
          <w:gridAfter w:val="8"/>
          <w:wAfter w:w="3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8"/>
          <w:wAfter w:w="3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8"/>
          <w:wAfter w:w="340" w:type="dxa"/>
          <w:trHeight w:val="2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8"/>
          <w:wAfter w:w="340" w:type="dxa"/>
          <w:trHeight w:val="5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400" w:hRule="atLeast"/>
        </w:trPr>
        <w:tc>
          <w:p>
            <w:pPr>
              <w:pStyle w:val="4"/>
            </w:pPr>
          </w:p>
        </w:tc>
        <w:tc>
          <w:tcPr>
            <w:gridSpan w:val="17"/>
            <w:tcMar>
              <w:top w:w="0" w:type="dxa"/>
              <w:left w:w="0" w:type="dxa"/>
              <w:bottom w:w="0" w:type="dxa"/>
              <w:right w:w="0" w:type="dxa"/>
            </w:tcMar>
            <w:vAlign w:val="center"/>
          </w:tcPr>
          <w:p>
            <w:pPr>
              <w:spacing w:before="0" w:after="0" w:line="320" w:lineRule="exact"/>
              <w:ind w:firstLine="0"/>
            </w:pPr>
            <w:r>
              <w:rPr>
                <w:rFonts w:ascii="宋体" w:hAnsi="宋体" w:eastAsia="宋体" w:cs="宋体"/>
                <w:color w:val="000000"/>
                <w:sz w:val="21"/>
              </w:rPr>
              <w:t>报告期内，84212041七日年化收益率均值2.8210%。同期业绩比较基准如下：</w:t>
            </w:r>
          </w:p>
        </w:tc>
        <w:tc>
          <w:p>
            <w:pPr>
              <w:pStyle w:val="4"/>
            </w:pPr>
          </w:p>
        </w:tc>
      </w:tr>
      <w:tr>
        <w:tblPrEx>
          <w:tblCellMar>
            <w:top w:w="0" w:type="dxa"/>
            <w:left w:w="10" w:type="dxa"/>
            <w:bottom w:w="0" w:type="dxa"/>
            <w:right w:w="10" w:type="dxa"/>
          </w:tblCellMar>
        </w:tblPrEx>
        <w:trPr>
          <w:gridAfter w:val="8"/>
          <w:wAfter w:w="340" w:type="dxa"/>
          <w:trHeight w:val="122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400" w:hRule="atLeast"/>
        </w:trPr>
        <w:tc>
          <w:p>
            <w:pPr>
              <w:pStyle w:val="4"/>
            </w:pPr>
          </w:p>
        </w:tc>
        <w:tc>
          <w:tcPr>
            <w:gridSpan w:val="7"/>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0" w:hRule="atLeast"/>
        </w:trPr>
        <w:tc>
          <w:p>
            <w:pPr>
              <w:pStyle w:val="4"/>
              <w:pageBreakBefore/>
            </w:pPr>
            <w:bookmarkStart w:id="3" w:name="JR_PAGE_ANCHOR_0_4"/>
            <w:bookmarkEnd w:id="3"/>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8"/>
          <w:wAfter w:w="34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兴业银行“现金宝4号”私人银行类人民币理财产品2021年年度报告</w:t>
            </w:r>
          </w:p>
        </w:tc>
        <w:tc>
          <w:p>
            <w:pPr>
              <w:pStyle w:val="4"/>
            </w:pPr>
          </w:p>
        </w:tc>
      </w:tr>
      <w:tr>
        <w:tblPrEx>
          <w:tblCellMar>
            <w:top w:w="0" w:type="dxa"/>
            <w:left w:w="10" w:type="dxa"/>
            <w:bottom w:w="0" w:type="dxa"/>
            <w:right w:w="10" w:type="dxa"/>
          </w:tblCellMar>
        </w:tblPrEx>
        <w:trPr>
          <w:gridAfter w:val="8"/>
          <w:wAfter w:w="340" w:type="dxa"/>
          <w:trHeight w:val="2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8"/>
          <w:wAfter w:w="34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8"/>
          <w:wAfter w:w="340" w:type="dxa"/>
          <w:trHeight w:val="1200" w:hRule="exact"/>
        </w:trPr>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gridCol w:w="4000"/>
              <w:gridCol w:w="46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AFAFA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适用期间</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业绩比较基准</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2021-11-25至2021-12-31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通知存款七天+浮动基数0%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gridAfter w:val="8"/>
          <w:wAfter w:w="340" w:type="dxa"/>
          <w:trHeight w:val="600" w:hRule="atLeast"/>
        </w:trPr>
        <w:tc>
          <w:p>
            <w:pPr>
              <w:pStyle w:val="4"/>
            </w:pPr>
          </w:p>
        </w:tc>
        <w:tc>
          <w:tcPr>
            <w:gridSpan w:val="16"/>
            <w:tcMar>
              <w:top w:w="0" w:type="dxa"/>
              <w:left w:w="0" w:type="dxa"/>
              <w:bottom w:w="0" w:type="dxa"/>
              <w:right w:w="0" w:type="dxa"/>
            </w:tcMar>
            <w:vAlign w:val="center"/>
          </w:tcPr>
          <w:p>
            <w:r>
              <w:rPr>
                <w:rFonts w:ascii="宋体" w:hAnsi="宋体" w:eastAsia="宋体" w:cs="宋体"/>
                <w:color w:val="000000"/>
                <w:sz w:val="21"/>
              </w:rPr>
              <w:t>报告期末，产品收益具体如下：</w:t>
            </w:r>
          </w:p>
        </w:tc>
        <w:tc>
          <w:p>
            <w:pPr>
              <w:pStyle w:val="4"/>
            </w:pPr>
          </w:p>
        </w:tc>
        <w:tc>
          <w:p>
            <w:pPr>
              <w:pStyle w:val="4"/>
            </w:pPr>
          </w:p>
        </w:tc>
      </w:tr>
      <w:tr>
        <w:tblPrEx>
          <w:tblCellMar>
            <w:top w:w="0" w:type="dxa"/>
            <w:left w:w="10" w:type="dxa"/>
            <w:bottom w:w="0" w:type="dxa"/>
            <w:right w:w="10" w:type="dxa"/>
          </w:tblCellMar>
        </w:tblPrEx>
        <w:trPr>
          <w:gridAfter w:val="8"/>
          <w:wAfter w:w="340" w:type="dxa"/>
          <w:trHeight w:val="600" w:hRule="atLeast"/>
        </w:trPr>
        <w:tc>
          <w:p>
            <w:pPr>
              <w:pStyle w:val="4"/>
            </w:pPr>
          </w:p>
        </w:tc>
        <w:tc>
          <w:tcPr>
            <w:gridSpan w:val="5"/>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万份收益</w:t>
            </w:r>
          </w:p>
        </w:tc>
        <w:tc>
          <w:tcPr>
            <w:gridSpan w:val="3"/>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七日年化收益率</w:t>
            </w:r>
          </w:p>
        </w:tc>
        <w:tc>
          <w:tcPr>
            <w:gridSpan w:val="3"/>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p>
            <w:pPr>
              <w:pStyle w:val="4"/>
            </w:pPr>
          </w:p>
        </w:tc>
      </w:tr>
      <w:tr>
        <w:tblPrEx>
          <w:tblCellMar>
            <w:top w:w="0" w:type="dxa"/>
            <w:left w:w="10" w:type="dxa"/>
            <w:bottom w:w="0" w:type="dxa"/>
            <w:right w:w="10" w:type="dxa"/>
          </w:tblCellMar>
        </w:tblPrEx>
        <w:trPr>
          <w:gridAfter w:val="8"/>
          <w:wAfter w:w="340" w:type="dxa"/>
          <w:trHeight w:val="600" w:hRule="atLeast"/>
        </w:trPr>
        <w:tc>
          <w:p>
            <w:pPr>
              <w:pStyle w:val="4"/>
            </w:pPr>
          </w:p>
        </w:tc>
        <w:tc>
          <w:tcPr>
            <w:gridSpan w:val="5"/>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c>
          <w:tcPr>
            <w:gridSpan w:val="5"/>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0.8033</w:t>
            </w:r>
          </w:p>
        </w:tc>
        <w:tc>
          <w:tcPr>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2.9000%</w:t>
            </w:r>
          </w:p>
        </w:tc>
        <w:tc>
          <w:tcPr>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10,341,210,258.88</w:t>
            </w:r>
          </w:p>
        </w:tc>
        <w:tc>
          <w:p>
            <w:pPr>
              <w:pStyle w:val="4"/>
            </w:pPr>
          </w:p>
        </w:tc>
        <w:tc>
          <w:p>
            <w:pPr>
              <w:pStyle w:val="4"/>
            </w:pPr>
          </w:p>
        </w:tc>
      </w:tr>
      <w:tr>
        <w:tblPrEx>
          <w:tblCellMar>
            <w:top w:w="0" w:type="dxa"/>
            <w:left w:w="10" w:type="dxa"/>
            <w:bottom w:w="0" w:type="dxa"/>
            <w:right w:w="10" w:type="dxa"/>
          </w:tblCellMar>
        </w:tblPrEx>
        <w:trPr>
          <w:gridAfter w:val="8"/>
          <w:wAfter w:w="340" w:type="dxa"/>
          <w:trHeight w:val="20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8"/>
          <w:wAfter w:w="34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p>
            <w:pPr>
              <w:pStyle w:val="4"/>
            </w:pPr>
          </w:p>
        </w:tc>
      </w:tr>
      <w:tr>
        <w:tblPrEx>
          <w:tblCellMar>
            <w:top w:w="0" w:type="dxa"/>
            <w:left w:w="10" w:type="dxa"/>
            <w:bottom w:w="0" w:type="dxa"/>
            <w:right w:w="10" w:type="dxa"/>
          </w:tblCellMar>
        </w:tblPrEx>
        <w:trPr>
          <w:gridAfter w:val="8"/>
          <w:wAfter w:w="34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8"/>
          <w:wAfter w:w="340" w:type="dxa"/>
          <w:trHeight w:val="156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汪锦女士，上海财经大学经济学硕士，国际金融理财师（CFP），中级经济师职称。银行理财产品创设、投资从业11年。 2005年任上海银行金融市场部同业“利多系列”产品投资经理；2013年加入兴业银行总行资产管理部历任同业“稳增1号”、“稳增2号”投资经理。2016年起，负责资产管理部流动性管理，管理总规模逾万亿，擅长大资金的资产配置和流动性管理；2019年转入兴银理财，现担任兴业银行添利5号净值型理财产品、兴业银行“现金宝4号”私人银行类人民币理财产品、兴银理财添利9号净值型理财产品和兴银理财添利10号净值型理财产品投资经理。</w:t>
            </w:r>
          </w:p>
        </w:tc>
        <w:tc>
          <w:p>
            <w:pPr>
              <w:pStyle w:val="4"/>
            </w:pPr>
          </w:p>
        </w:tc>
      </w:tr>
      <w:tr>
        <w:tblPrEx>
          <w:tblCellMar>
            <w:top w:w="0" w:type="dxa"/>
            <w:left w:w="10" w:type="dxa"/>
            <w:bottom w:w="0" w:type="dxa"/>
            <w:right w:w="10" w:type="dxa"/>
          </w:tblCellMar>
        </w:tblPrEx>
        <w:trPr>
          <w:gridAfter w:val="8"/>
          <w:wAfter w:w="340" w:type="dxa"/>
          <w:trHeight w:val="600" w:hRule="atLeast"/>
        </w:trPr>
        <w:tc>
          <w:p>
            <w:pPr>
              <w:pStyle w:val="4"/>
            </w:pPr>
            <w:bookmarkStart w:id="8" w:name="_GoBack"/>
            <w:bookmarkEnd w:id="8"/>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p>
            <w:pPr>
              <w:pStyle w:val="4"/>
            </w:pPr>
          </w:p>
        </w:tc>
      </w:tr>
      <w:tr>
        <w:tblPrEx>
          <w:tblCellMar>
            <w:top w:w="0" w:type="dxa"/>
            <w:left w:w="10" w:type="dxa"/>
            <w:bottom w:w="0" w:type="dxa"/>
            <w:right w:w="10" w:type="dxa"/>
          </w:tblCellMar>
        </w:tblPrEx>
        <w:trPr>
          <w:gridAfter w:val="8"/>
          <w:wAfter w:w="340" w:type="dxa"/>
          <w:trHeight w:val="22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8"/>
          <w:wAfter w:w="340" w:type="dxa"/>
          <w:trHeight w:val="760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1、宏观经济及市场情况</w:t>
            </w:r>
            <w:r>
              <w:rPr>
                <w:rFonts w:ascii="宋体" w:hAnsi="宋体" w:eastAsia="宋体" w:cs="宋体"/>
                <w:color w:val="000000"/>
                <w:sz w:val="21"/>
              </w:rPr>
              <w:br w:type="textWrapping"/>
            </w:r>
            <w:r>
              <w:rPr>
                <w:rFonts w:ascii="宋体" w:hAnsi="宋体" w:eastAsia="宋体" w:cs="宋体"/>
                <w:color w:val="000000"/>
                <w:sz w:val="21"/>
              </w:rPr>
              <w:t xml:space="preserve">    回顾2021年债市，永煤事件后市场信用风险偏好降低，各省份城投债信用利差走势分化加剧，强区域城投债利差压缩。宽货币环境叠加信用收缩风险，债市整体走出慢牛行情，利率债全年呈现“前高后低、中枢下行”的趋势。10年期国债在春节达到3.28%高点，7月初央行超预期降准叠加政治局会议加大债市波动，推动长端利率下行至2.8%，随后窄幅震荡。下半年以来经济下行压力加大，国内疫情反复，趋严的地产和城投融资政策使得实体融资环境进一步恶化，10月市场交易通胀预期助推国债回调至3.0%，11月地产风险发酵与紧信用加剧，12月年内地二次降准落地，资金面宽松加上信贷需求转弱，10年期国债再次震荡下行至2.80%低位。</w:t>
            </w:r>
            <w:r>
              <w:rPr>
                <w:rFonts w:ascii="宋体" w:hAnsi="宋体" w:eastAsia="宋体" w:cs="宋体"/>
                <w:color w:val="000000"/>
                <w:sz w:val="21"/>
              </w:rPr>
              <w:br w:type="textWrapping"/>
            </w:r>
            <w:r>
              <w:rPr>
                <w:rFonts w:ascii="宋体" w:hAnsi="宋体" w:eastAsia="宋体" w:cs="宋体"/>
                <w:color w:val="000000"/>
                <w:sz w:val="21"/>
              </w:rPr>
              <w:t xml:space="preserve">    展望2022，外部环境更趋复杂，海外经济体宽松政策陆续退出，而国内经济发展面临需求收缩、供给冲击、预期转弱三重压力，市场预期财政、货币政策将加大“跨周期调节”力度，与逆周期调节相结合，财政政策“保证强度、加快力度”，货币政策“以我为主”“灵活适度”保持流动性合理充裕。经济惯性下行、通胀预期、降息预期、内外部周期错位、全球疫情持续演变，国内债市面临诸多不确定性因素。22年债市可能呈现低幅震荡的格局，关注政策和基本面边际变化带来的投资机会。</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2、前期运作回顾</w:t>
            </w:r>
            <w:r>
              <w:rPr>
                <w:rFonts w:ascii="宋体" w:hAnsi="宋体" w:eastAsia="宋体" w:cs="宋体"/>
                <w:color w:val="000000"/>
                <w:sz w:val="21"/>
              </w:rPr>
              <w:br w:type="textWrapping"/>
            </w:r>
            <w:r>
              <w:rPr>
                <w:rFonts w:ascii="宋体" w:hAnsi="宋体" w:eastAsia="宋体" w:cs="宋体"/>
                <w:color w:val="000000"/>
                <w:sz w:val="21"/>
              </w:rPr>
              <w:t xml:space="preserve">    报告期内，负债端规模受监管各规定的要求，总体呈现先增后降的走势。其中，同业现金管理产品添利5号降幅较大，年内完成了面向全渠道销售的改造，当前规模96亿元。零售现金管理产品添利9号于9月上千亿，四季度日均1100亿元；添利10号规模较小，四季度日均173亿元；现金宝4号于11月完成老转新改造，当前规模103亿元。</w:t>
            </w:r>
            <w:r>
              <w:rPr>
                <w:rFonts w:ascii="宋体" w:hAnsi="宋体" w:eastAsia="宋体" w:cs="宋体"/>
                <w:color w:val="000000"/>
                <w:sz w:val="21"/>
              </w:rPr>
              <w:br w:type="textWrapping"/>
            </w:r>
            <w:r>
              <w:rPr>
                <w:rFonts w:ascii="宋体" w:hAnsi="宋体" w:eastAsia="宋体" w:cs="宋体"/>
                <w:color w:val="000000"/>
                <w:sz w:val="21"/>
              </w:rPr>
              <w:t>资产端，前三季度主要以买入并持有为主，品种依然集中于高评级信用债、同业存单等；四季度主要配合产品规模下降，卖出部分1-3M资产，释放浮盈同时产品提升了被动杠杆。</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3、后期投资策略</w:t>
            </w:r>
            <w:r>
              <w:rPr>
                <w:rFonts w:ascii="宋体" w:hAnsi="宋体" w:eastAsia="宋体" w:cs="宋体"/>
                <w:color w:val="000000"/>
                <w:sz w:val="21"/>
              </w:rPr>
              <w:br w:type="textWrapping"/>
            </w:r>
            <w:r>
              <w:rPr>
                <w:rFonts w:ascii="宋体" w:hAnsi="宋体" w:eastAsia="宋体" w:cs="宋体"/>
                <w:color w:val="000000"/>
                <w:sz w:val="21"/>
              </w:rPr>
              <w:t xml:space="preserve">    下阶段本产品依然会保持安全性和流动性优先、兼顾收益性的稳健投资策略，深入研究分析债券市场收益率的</w:t>
            </w:r>
          </w:p>
        </w:tc>
        <w:tc>
          <w:p>
            <w:pPr>
              <w:pStyle w:val="4"/>
            </w:pPr>
          </w:p>
        </w:tc>
      </w:tr>
      <w:tr>
        <w:tblPrEx>
          <w:tblCellMar>
            <w:top w:w="0" w:type="dxa"/>
            <w:left w:w="10" w:type="dxa"/>
            <w:bottom w:w="0" w:type="dxa"/>
            <w:right w:w="10" w:type="dxa"/>
          </w:tblCellMar>
        </w:tblPrEx>
        <w:trPr>
          <w:gridAfter w:val="8"/>
          <w:wAfter w:w="340" w:type="dxa"/>
          <w:trHeight w:val="400" w:hRule="atLeast"/>
        </w:trPr>
        <w:tc>
          <w:p>
            <w:pPr>
              <w:pStyle w:val="4"/>
            </w:pPr>
          </w:p>
        </w:tc>
        <w:tc>
          <w:tcPr>
            <w:gridSpan w:val="5"/>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6"/>
          <w:wAfter w:w="320" w:type="dxa"/>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wAfter w:w="32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兴业银行“现金宝4号”私人银行类人民币理财产品2021年年度报告</w:t>
            </w:r>
          </w:p>
        </w:tc>
        <w:tc>
          <w:tcPr>
            <w:gridSpan w:val="2"/>
          </w:tcPr>
          <w:p>
            <w:pPr>
              <w:pStyle w:val="4"/>
            </w:pPr>
          </w:p>
        </w:tc>
        <w:tc>
          <w:p>
            <w:pPr>
              <w:pStyle w:val="4"/>
            </w:pPr>
          </w:p>
        </w:tc>
      </w:tr>
      <w:tr>
        <w:tblPrEx>
          <w:tblCellMar>
            <w:top w:w="0" w:type="dxa"/>
            <w:left w:w="10" w:type="dxa"/>
            <w:bottom w:w="0" w:type="dxa"/>
            <w:right w:w="10" w:type="dxa"/>
          </w:tblCellMar>
        </w:tblPrEx>
        <w:trPr>
          <w:gridAfter w:val="6"/>
          <w:wAfter w:w="320" w:type="dxa"/>
          <w:trHeight w:val="2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wAfter w:w="32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wAfter w:w="320" w:type="dxa"/>
          <w:trHeight w:val="224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变化趋势，综合考量各投资品种的风险收益特征，在此基础上制定科学有效的投资策略。</w:t>
            </w:r>
            <w:r>
              <w:rPr>
                <w:rFonts w:ascii="宋体" w:hAnsi="宋体" w:eastAsia="宋体" w:cs="宋体"/>
                <w:color w:val="000000"/>
                <w:sz w:val="21"/>
              </w:rPr>
              <w:br w:type="textWrapping"/>
            </w:r>
            <w:r>
              <w:rPr>
                <w:rFonts w:ascii="宋体" w:hAnsi="宋体" w:eastAsia="宋体" w:cs="宋体"/>
                <w:color w:val="000000"/>
                <w:sz w:val="21"/>
              </w:rPr>
              <w:t xml:space="preserve">    在具体操作上，关注市场调整机会，一季度国债地方债供给冲击、美债收益率上行等因素可能带来的扰动，防范降息落地后的市场反转，把握投资窗口期。流动性管理方面，一季度面临春节前和季度末两个关键时点，我们将密切关注市场资金面情况和产品申购赎回情况，合理分配现金流，确保产品的流动性安全。此外，结合已颁布的《关于规范现金管理类理财产品管理有关事项的通知》，我们将持续按照监管部门的要求，对组合进行调整和优化。</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6"/>
          <w:wAfter w:w="320" w:type="dxa"/>
          <w:trHeight w:val="20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wAfter w:w="32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六. 理财托管机构报告</w:t>
            </w:r>
          </w:p>
        </w:tc>
        <w:tc>
          <w:tcPr>
            <w:gridSpan w:val="2"/>
          </w:tcPr>
          <w:p>
            <w:pPr>
              <w:pStyle w:val="4"/>
            </w:pPr>
          </w:p>
        </w:tc>
        <w:tc>
          <w:p>
            <w:pPr>
              <w:pStyle w:val="4"/>
            </w:pPr>
          </w:p>
        </w:tc>
      </w:tr>
      <w:tr>
        <w:tblPrEx>
          <w:tblCellMar>
            <w:top w:w="0" w:type="dxa"/>
            <w:left w:w="10" w:type="dxa"/>
            <w:bottom w:w="0" w:type="dxa"/>
            <w:right w:w="10" w:type="dxa"/>
          </w:tblCellMar>
        </w:tblPrEx>
        <w:trPr>
          <w:gridAfter w:val="6"/>
          <w:wAfter w:w="320" w:type="dxa"/>
          <w:trHeight w:val="48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wAfter w:w="320" w:type="dxa"/>
          <w:trHeight w:val="2800" w:hRule="atLeast"/>
        </w:trPr>
        <w:tc>
          <w:p>
            <w:pPr>
              <w:pStyle w:val="4"/>
            </w:pPr>
          </w:p>
        </w:tc>
        <w:tc>
          <w:p>
            <w:pPr>
              <w:pStyle w:val="4"/>
            </w:pPr>
          </w:p>
        </w:tc>
        <w:tc>
          <w:tcPr>
            <w:gridSpan w:val="18"/>
            <w:tcMar>
              <w:top w:w="0" w:type="dxa"/>
              <w:left w:w="0" w:type="dxa"/>
              <w:bottom w:w="0" w:type="dxa"/>
              <w:right w:w="0" w:type="dxa"/>
            </w:tcMar>
            <w:vAlign w:val="top"/>
          </w:tcPr>
          <w:p>
            <w:pPr>
              <w:spacing w:before="0" w:after="0"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报告期内，托管人严格遵守《商业银行理财业务监督管理办法》及相关法律法规规定、理财产品托管协议约定，诚实信用、谨慎勤勉地履行了托管人义务，不存在损害理财产品投资者利益的行为。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托管人认真复核了本报告中的净值表现、投资组合报告等内容，认为其真实、准确和完整，不存在虚假记载、误导性陈述或者重大遗漏。</w:t>
            </w:r>
          </w:p>
        </w:tc>
        <w:tc>
          <w:p>
            <w:pPr>
              <w:pStyle w:val="4"/>
            </w:pPr>
          </w:p>
        </w:tc>
      </w:tr>
      <w:tr>
        <w:tblPrEx>
          <w:tblCellMar>
            <w:top w:w="0" w:type="dxa"/>
            <w:left w:w="10" w:type="dxa"/>
            <w:bottom w:w="0" w:type="dxa"/>
            <w:right w:w="10" w:type="dxa"/>
          </w:tblCellMar>
        </w:tblPrEx>
        <w:trPr>
          <w:gridAfter w:val="6"/>
          <w:wAfter w:w="320" w:type="dxa"/>
          <w:trHeight w:val="60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wAfter w:w="32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七. 审计报告</w:t>
            </w:r>
          </w:p>
        </w:tc>
        <w:tc>
          <w:tcPr>
            <w:gridSpan w:val="2"/>
          </w:tcPr>
          <w:p>
            <w:pPr>
              <w:pStyle w:val="4"/>
            </w:pPr>
          </w:p>
        </w:tc>
        <w:tc>
          <w:p>
            <w:pPr>
              <w:pStyle w:val="4"/>
            </w:pPr>
          </w:p>
        </w:tc>
      </w:tr>
      <w:tr>
        <w:tblPrEx>
          <w:tblCellMar>
            <w:top w:w="0" w:type="dxa"/>
            <w:left w:w="10" w:type="dxa"/>
            <w:bottom w:w="0" w:type="dxa"/>
            <w:right w:w="10" w:type="dxa"/>
          </w:tblCellMar>
        </w:tblPrEx>
        <w:trPr>
          <w:gridAfter w:val="6"/>
          <w:wAfter w:w="320" w:type="dxa"/>
          <w:trHeight w:val="48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wAfter w:w="320" w:type="dxa"/>
          <w:trHeight w:val="1480" w:hRule="atLeast"/>
        </w:trPr>
        <w:tc>
          <w:p>
            <w:pPr>
              <w:pStyle w:val="4"/>
            </w:pPr>
          </w:p>
        </w:tc>
        <w:tc>
          <w:tcPr>
            <w:gridSpan w:val="17"/>
            <w:tcMar>
              <w:top w:w="0" w:type="dxa"/>
              <w:left w:w="0" w:type="dxa"/>
              <w:bottom w:w="0" w:type="dxa"/>
              <w:right w:w="0" w:type="dxa"/>
            </w:tcMar>
            <w:vAlign w:val="center"/>
          </w:tcPr>
          <w:p>
            <w:pPr>
              <w:spacing w:before="0" w:after="0"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gridSpan w:val="2"/>
          </w:tcPr>
          <w:p>
            <w:pPr>
              <w:pStyle w:val="4"/>
            </w:pPr>
          </w:p>
        </w:tc>
        <w:tc>
          <w:p>
            <w:pPr>
              <w:pStyle w:val="4"/>
            </w:pPr>
          </w:p>
        </w:tc>
      </w:tr>
      <w:tr>
        <w:tblPrEx>
          <w:tblCellMar>
            <w:top w:w="0" w:type="dxa"/>
            <w:left w:w="10" w:type="dxa"/>
            <w:bottom w:w="0" w:type="dxa"/>
            <w:right w:w="10" w:type="dxa"/>
          </w:tblCellMar>
        </w:tblPrEx>
        <w:trPr>
          <w:gridAfter w:val="6"/>
          <w:wAfter w:w="320" w:type="dxa"/>
          <w:trHeight w:val="60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wAfter w:w="32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八.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6"/>
          <w:wAfter w:w="320" w:type="dxa"/>
          <w:trHeight w:val="20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wAfter w:w="320" w:type="dxa"/>
          <w:trHeight w:val="400" w:hRule="atLeast"/>
        </w:trPr>
        <w:tc>
          <w:p>
            <w:pPr>
              <w:pStyle w:val="4"/>
            </w:pPr>
          </w:p>
        </w:tc>
        <w:tc>
          <w:p>
            <w:pPr>
              <w:pStyle w:val="4"/>
            </w:pPr>
          </w:p>
        </w:tc>
        <w:tc>
          <w:tcPr>
            <w:gridSpan w:val="18"/>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6"/>
          <w:wAfter w:w="320" w:type="dxa"/>
          <w:trHeight w:val="4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wAfter w:w="320" w:type="dxa"/>
          <w:trHeight w:val="2400" w:hRule="exact"/>
        </w:trPr>
        <w:tc>
          <w:p>
            <w:pPr>
              <w:pStyle w:val="4"/>
            </w:pPr>
          </w:p>
        </w:tc>
        <w:tc>
          <w:p>
            <w:pPr>
              <w:pStyle w:val="4"/>
            </w:pPr>
          </w:p>
        </w:tc>
        <w:tc>
          <w:tcPr>
            <w:gridSpan w:val="18"/>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3200"/>
              <w:gridCol w:w="4000"/>
              <w:gridCol w:w="2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16.36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500"/>
                  </w:tblGrid>
                  <w:tr>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83.64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500"/>
                  </w:tblGrid>
                  <w:tr>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500"/>
                  </w:tblGrid>
                  <w:tr>
                    <w:tblPrEx>
                      <w:tblCellMar>
                        <w:top w:w="0" w:type="dxa"/>
                        <w:left w:w="10" w:type="dxa"/>
                        <w:bottom w:w="0" w:type="dxa"/>
                        <w:right w:w="10" w:type="dxa"/>
                      </w:tblCellMar>
                    </w:tblPrEx>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6"/>
          <w:wAfter w:w="320" w:type="dxa"/>
          <w:trHeight w:val="108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wAfter w:w="320" w:type="dxa"/>
          <w:trHeight w:val="400" w:hRule="atLeast"/>
        </w:trPr>
        <w:tc>
          <w:p>
            <w:pPr>
              <w:pStyle w:val="4"/>
            </w:pPr>
          </w:p>
        </w:tc>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8"/>
          <w:wAfter w:w="340" w:type="dxa"/>
          <w:trHeight w:val="0" w:hRule="atLeast"/>
        </w:trPr>
        <w:tc>
          <w:p>
            <w:pPr>
              <w:pStyle w:val="4"/>
              <w:pageBreakBefore/>
            </w:pPr>
            <w:bookmarkStart w:id="5" w:name="JR_PAGE_ANCHOR_0_6"/>
            <w:bookmarkEnd w:id="5"/>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兴业银行“现金宝4号”私人银行类人民币理财产品2021年年度报告</w:t>
            </w:r>
          </w:p>
        </w:tc>
        <w:tc>
          <w:p>
            <w:pPr>
              <w:pStyle w:val="4"/>
            </w:pPr>
          </w:p>
        </w:tc>
      </w:tr>
      <w:tr>
        <w:tblPrEx>
          <w:tblCellMar>
            <w:top w:w="0" w:type="dxa"/>
            <w:left w:w="10" w:type="dxa"/>
            <w:bottom w:w="0" w:type="dxa"/>
            <w:right w:w="10" w:type="dxa"/>
          </w:tblCellMar>
        </w:tblPrEx>
        <w:trPr>
          <w:gridAfter w:val="8"/>
          <w:wAfter w:w="340" w:type="dxa"/>
          <w:trHeight w:val="20" w:hRule="exact"/>
        </w:trPr>
        <w:tc>
          <w:p>
            <w:pPr>
              <w:pStyle w:val="4"/>
            </w:pPr>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8"/>
          <w:wAfter w:w="340" w:type="dxa"/>
          <w:trHeight w:val="20" w:hRule="exact"/>
        </w:trPr>
        <w:tc>
          <w:p>
            <w:pPr>
              <w:pStyle w:val="4"/>
            </w:pPr>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600" w:hRule="atLeast"/>
        </w:trPr>
        <w:tc>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p>
            <w:pPr>
              <w:pStyle w:val="4"/>
            </w:pPr>
          </w:p>
        </w:tc>
      </w:tr>
      <w:tr>
        <w:tblPrEx>
          <w:tblCellMar>
            <w:top w:w="0" w:type="dxa"/>
            <w:left w:w="10" w:type="dxa"/>
            <w:bottom w:w="0" w:type="dxa"/>
            <w:right w:w="10" w:type="dxa"/>
          </w:tblCellMar>
        </w:tblPrEx>
        <w:trPr>
          <w:gridAfter w:val="8"/>
          <w:wAfter w:w="340" w:type="dxa"/>
          <w:trHeight w:val="100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p>
            <w:pPr>
              <w:pStyle w:val="4"/>
            </w:pPr>
          </w:p>
        </w:tc>
      </w:tr>
      <w:tr>
        <w:tblPrEx>
          <w:tblCellMar>
            <w:top w:w="0" w:type="dxa"/>
            <w:left w:w="10" w:type="dxa"/>
            <w:bottom w:w="0" w:type="dxa"/>
            <w:right w:w="10" w:type="dxa"/>
          </w:tblCellMar>
        </w:tblPrEx>
        <w:trPr>
          <w:gridAfter w:val="8"/>
          <w:wAfter w:w="340" w:type="dxa"/>
          <w:trHeight w:val="600" w:hRule="atLeast"/>
        </w:trPr>
        <w:tc>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p>
            <w:pPr>
              <w:pStyle w:val="4"/>
            </w:pPr>
          </w:p>
        </w:tc>
      </w:tr>
      <w:tr>
        <w:tblPrEx>
          <w:tblCellMar>
            <w:top w:w="0" w:type="dxa"/>
            <w:left w:w="10" w:type="dxa"/>
            <w:bottom w:w="0" w:type="dxa"/>
            <w:right w:w="10" w:type="dxa"/>
          </w:tblCellMar>
        </w:tblPrEx>
        <w:trPr>
          <w:gridAfter w:val="8"/>
          <w:wAfter w:w="340" w:type="dxa"/>
          <w:trHeight w:val="258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8"/>
          <w:wAfter w:w="340" w:type="dxa"/>
          <w:trHeight w:val="520" w:hRule="exact"/>
        </w:trPr>
        <w:tc>
          <w:p>
            <w:pPr>
              <w:pStyle w:val="4"/>
            </w:pPr>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600" w:hRule="atLeast"/>
        </w:trPr>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gridAfter w:val="8"/>
          <w:wAfter w:w="340" w:type="dxa"/>
          <w:trHeight w:val="6640" w:hRule="exact"/>
        </w:trPr>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17华夏银行二级01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601,039,076.41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21CSFD203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建设银行深圳分行活期存款（约期）</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存放同业20211227002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存放同业20211210001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21国开02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471,959,100.33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21民生银行CD392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438,035,515.67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21恒丰银行CD274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393,355,119.25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21华夏银行CD316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389,733,659.31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19浦发银行小微债01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300,594,456.84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2.91</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8"/>
          <w:wAfter w:w="340" w:type="dxa"/>
          <w:trHeight w:val="2240" w:hRule="exact"/>
        </w:trPr>
        <w:tc>
          <w:p>
            <w:pPr>
              <w:pStyle w:val="4"/>
            </w:pPr>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400" w:hRule="atLeast"/>
        </w:trPr>
        <w:tc>
          <w:p>
            <w:pPr>
              <w:pStyle w:val="4"/>
            </w:pPr>
          </w:p>
        </w:tc>
        <w:tc>
          <w:tcPr>
            <w:gridSpan w:val="7"/>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5"/>
          </w:tcPr>
          <w:p>
            <w:pPr>
              <w:pStyle w:val="4"/>
            </w:pPr>
          </w:p>
        </w:tc>
        <w:tc>
          <w:p>
            <w:pPr>
              <w:pStyle w:val="4"/>
            </w:pPr>
          </w:p>
        </w:tc>
      </w:tr>
      <w:tr>
        <w:tblPrEx>
          <w:tblCellMar>
            <w:top w:w="0" w:type="dxa"/>
            <w:left w:w="10" w:type="dxa"/>
            <w:bottom w:w="0" w:type="dxa"/>
            <w:right w:w="10" w:type="dxa"/>
          </w:tblCellMar>
        </w:tblPrEx>
        <w:trPr>
          <w:gridAfter w:val="4"/>
          <w:wAfter w:w="300" w:type="dxa"/>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兴业银行“现金宝4号”私人银行类人民币理财产品2021年年度报告</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300" w:type="dxa"/>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300" w:type="dxa"/>
          <w:trHeight w:val="600" w:hRule="atLeast"/>
        </w:trPr>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300" w:type="dxa"/>
          <w:trHeight w:val="400" w:hRule="atLeast"/>
        </w:trPr>
        <w:tc>
          <w:p>
            <w:pPr>
              <w:pStyle w:val="4"/>
            </w:pPr>
          </w:p>
        </w:tc>
        <w:tc>
          <w:tcPr>
            <w:gridSpan w:val="2"/>
          </w:tcPr>
          <w:p>
            <w:pPr>
              <w:pStyle w:val="4"/>
            </w:pPr>
          </w:p>
        </w:tc>
        <w:tc>
          <w:tcPr>
            <w:gridSpan w:val="2"/>
          </w:tcPr>
          <w:p>
            <w:pPr>
              <w:pStyle w:val="4"/>
            </w:pPr>
          </w:p>
        </w:tc>
        <w:tc>
          <w:tcPr>
            <w:gridSpan w:val="13"/>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300" w:type="dxa"/>
          <w:trHeight w:val="6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21万科MTN001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20东方债02BC</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18陕煤化MTN003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18陕煤化MTN004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18太仓资产MTN002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18江津华信MTN001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19顺德控股MTN001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20滁州城投PPN002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21湖南轨道MTN001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20中国信达债02BC(品种一)</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300" w:type="dxa"/>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300" w:type="dxa"/>
          <w:trHeight w:val="400" w:hRule="atLeast"/>
        </w:trPr>
        <w:tc>
          <w:p>
            <w:pPr>
              <w:pStyle w:val="4"/>
            </w:pPr>
          </w:p>
        </w:tc>
        <w:tc>
          <w:tcPr>
            <w:gridSpan w:val="2"/>
          </w:tcPr>
          <w:p>
            <w:pPr>
              <w:pStyle w:val="4"/>
            </w:pPr>
          </w:p>
        </w:tc>
        <w:tc>
          <w:tcPr>
            <w:gridSpan w:val="2"/>
          </w:tcPr>
          <w:p>
            <w:pPr>
              <w:pStyle w:val="4"/>
            </w:pPr>
          </w:p>
        </w:tc>
        <w:tc>
          <w:tcPr>
            <w:gridSpan w:val="13"/>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300" w:type="dxa"/>
          <w:trHeight w:val="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300" w:type="dxa"/>
          <w:trHeight w:val="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300" w:type="dxa"/>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300" w:type="dxa"/>
          <w:trHeight w:val="400" w:hRule="atLeast"/>
        </w:trPr>
        <w:tc>
          <w:p>
            <w:pPr>
              <w:pStyle w:val="4"/>
            </w:pPr>
          </w:p>
        </w:tc>
        <w:tc>
          <w:tcPr>
            <w:gridSpan w:val="2"/>
          </w:tcPr>
          <w:p>
            <w:pPr>
              <w:pStyle w:val="4"/>
            </w:pPr>
          </w:p>
        </w:tc>
        <w:tc>
          <w:tcPr>
            <w:gridSpan w:val="2"/>
          </w:tcPr>
          <w:p>
            <w:pPr>
              <w:pStyle w:val="4"/>
            </w:pPr>
          </w:p>
        </w:tc>
        <w:tc>
          <w:tcPr>
            <w:gridSpan w:val="13"/>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300" w:type="dxa"/>
          <w:trHeight w:val="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300" w:type="dxa"/>
          <w:trHeight w:val="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300" w:type="dxa"/>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300" w:type="dxa"/>
          <w:trHeight w:val="400" w:hRule="atLeast"/>
        </w:trPr>
        <w:tc>
          <w:p>
            <w:pPr>
              <w:pStyle w:val="4"/>
            </w:pPr>
          </w:p>
        </w:tc>
        <w:tc>
          <w:tcPr>
            <w:gridSpan w:val="2"/>
          </w:tcPr>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gridAfter w:val="4"/>
          <w:wAfter w:w="300" w:type="dxa"/>
          <w:trHeight w:val="1200" w:hRule="exact"/>
        </w:trPr>
        <w:tc>
          <w:p>
            <w:pPr>
              <w:pStyle w:val="4"/>
            </w:pPr>
          </w:p>
        </w:tc>
        <w:tc>
          <w:tcPr>
            <w:gridSpan w:val="2"/>
          </w:tcPr>
          <w:p>
            <w:pPr>
              <w:pStyle w:val="4"/>
            </w:pPr>
          </w:p>
        </w:tc>
        <w:tc>
          <w:tcPr>
            <w:gridSpan w:val="19"/>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051010100100006103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兴业银行股份有限公司理财产品托管专户（现金宝4号）</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300" w:type="dxa"/>
          <w:trHeight w:val="184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300" w:type="dxa"/>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5"/>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7" w:name="JR_PAGE_ANCHOR_0_8"/>
            <w:bookmarkEnd w:id="7"/>
          </w:p>
        </w:tc>
        <w:tc>
          <w:tcPr>
            <w:gridSpan w:val="2"/>
          </w:tcPr>
          <w:p>
            <w:pPr>
              <w:pStyle w:val="4"/>
            </w:pPr>
          </w:p>
        </w:tc>
        <w:tc>
          <w:tcPr>
            <w:gridSpan w:val="5"/>
          </w:tcPr>
          <w:p>
            <w:pPr>
              <w:pStyle w:val="4"/>
            </w:pPr>
          </w:p>
        </w:tc>
        <w:tc>
          <w:tcPr>
            <w:gridSpan w:val="3"/>
          </w:tcPr>
          <w:p>
            <w:pPr>
              <w:pStyle w:val="4"/>
            </w:pPr>
          </w:p>
        </w:tc>
        <w:tc>
          <w:tcPr>
            <w:gridSpan w:val="2"/>
          </w:tcPr>
          <w:p>
            <w:pPr>
              <w:pStyle w:val="4"/>
            </w:pPr>
          </w:p>
        </w:tc>
        <w:tc>
          <w:tcPr>
            <w:gridSpan w:val="5"/>
          </w:tcPr>
          <w:p>
            <w:pPr>
              <w:pStyle w:val="4"/>
            </w:pPr>
          </w:p>
        </w:tc>
        <w:tc>
          <w:tcPr>
            <w:gridSpan w:val="6"/>
          </w:tcPr>
          <w:p>
            <w:pPr>
              <w:pStyle w:val="4"/>
            </w:pPr>
          </w:p>
        </w:tc>
        <w:tc>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兴业银行“现金宝4号”私人银行类人民币理财产品2021年年度报告</w:t>
            </w:r>
          </w:p>
        </w:tc>
        <w:tc>
          <w:tcPr>
            <w:gridSpan w:val="6"/>
          </w:tcPr>
          <w:p>
            <w:pPr>
              <w:pStyle w:val="4"/>
            </w:pPr>
          </w:p>
        </w:tc>
        <w:tc>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5"/>
          </w:tcPr>
          <w:p>
            <w:pPr>
              <w:pStyle w:val="4"/>
            </w:pPr>
          </w:p>
        </w:tc>
        <w:tc>
          <w:tcPr>
            <w:gridSpan w:val="3"/>
          </w:tcPr>
          <w:p>
            <w:pPr>
              <w:pStyle w:val="4"/>
            </w:pPr>
          </w:p>
        </w:tc>
        <w:tc>
          <w:tcPr>
            <w:gridSpan w:val="2"/>
          </w:tcPr>
          <w:p>
            <w:pPr>
              <w:pStyle w:val="4"/>
            </w:pPr>
          </w:p>
        </w:tc>
        <w:tc>
          <w:tcPr>
            <w:gridSpan w:val="5"/>
          </w:tcPr>
          <w:p>
            <w:pPr>
              <w:pStyle w:val="4"/>
            </w:pPr>
          </w:p>
        </w:tc>
        <w:tc>
          <w:tcPr>
            <w:gridSpan w:val="6"/>
          </w:tcPr>
          <w:p>
            <w:pPr>
              <w:pStyle w:val="4"/>
            </w:pPr>
          </w:p>
        </w:tc>
        <w:tc>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tcPr>
            <w:gridSpan w:val="6"/>
          </w:tcPr>
          <w:p>
            <w:pPr>
              <w:pStyle w:val="4"/>
            </w:pPr>
          </w:p>
        </w:tc>
        <w:tc>
          <w:p>
            <w:pPr>
              <w:pStyle w:val="4"/>
            </w:pPr>
          </w:p>
        </w:tc>
        <w:tc>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5"/>
          </w:tcPr>
          <w:p>
            <w:pPr>
              <w:pStyle w:val="4"/>
            </w:pPr>
          </w:p>
        </w:tc>
        <w:tc>
          <w:tcPr>
            <w:gridSpan w:val="3"/>
          </w:tcPr>
          <w:p>
            <w:pPr>
              <w:pStyle w:val="4"/>
            </w:pPr>
          </w:p>
        </w:tc>
        <w:tc>
          <w:tcPr>
            <w:gridSpan w:val="2"/>
          </w:tcPr>
          <w:p>
            <w:pPr>
              <w:pStyle w:val="4"/>
            </w:pPr>
          </w:p>
        </w:tc>
        <w:tc>
          <w:tcPr>
            <w:gridSpan w:val="5"/>
          </w:tcPr>
          <w:p>
            <w:pPr>
              <w:pStyle w:val="4"/>
            </w:pPr>
          </w:p>
        </w:tc>
        <w:tc>
          <w:tcPr>
            <w:gridSpan w:val="6"/>
          </w:tcPr>
          <w:p>
            <w:pPr>
              <w:pStyle w:val="4"/>
            </w:pPr>
          </w:p>
        </w:tc>
        <w:tc>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3"/>
            <w:tcMar>
              <w:top w:w="0" w:type="dxa"/>
              <w:left w:w="0" w:type="dxa"/>
              <w:bottom w:w="0" w:type="dxa"/>
              <w:right w:w="0" w:type="dxa"/>
            </w:tcMar>
            <w:vAlign w:val="center"/>
          </w:tcPr>
          <w:p>
            <w:pPr>
              <w:jc w:val="left"/>
            </w:pPr>
            <w:r>
              <w:rPr>
                <w:rFonts w:ascii="宋体" w:hAnsi="宋体" w:eastAsia="宋体" w:cs="宋体"/>
                <w:b/>
                <w:color w:val="000000"/>
                <w:sz w:val="21"/>
              </w:rPr>
              <w:t>7.理财份额投资人信息</w:t>
            </w: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3"/>
            <w:tcMar>
              <w:top w:w="0" w:type="dxa"/>
              <w:left w:w="0" w:type="dxa"/>
              <w:bottom w:w="0" w:type="dxa"/>
              <w:right w:w="0" w:type="dxa"/>
            </w:tcMar>
            <w:vAlign w:val="center"/>
          </w:tcPr>
          <w:p>
            <w:pPr>
              <w:jc w:val="left"/>
            </w:pPr>
            <w:r>
              <w:rPr>
                <w:rFonts w:ascii="宋体" w:hAnsi="宋体" w:eastAsia="宋体" w:cs="宋体"/>
                <w:color w:val="000000"/>
                <w:sz w:val="20"/>
              </w:rPr>
              <w:t xml:space="preserve"> 7.1期末现金管理类产品前十大份额投资人情况</w:t>
            </w:r>
          </w:p>
        </w:tc>
        <w:tc>
          <w:p>
            <w:pPr>
              <w:pStyle w:val="4"/>
            </w:pPr>
          </w:p>
        </w:tc>
      </w:tr>
      <w:tr>
        <w:tblPrEx>
          <w:tblCellMar>
            <w:top w:w="0" w:type="dxa"/>
            <w:left w:w="10" w:type="dxa"/>
            <w:bottom w:w="0" w:type="dxa"/>
            <w:right w:w="10" w:type="dxa"/>
          </w:tblCellMar>
        </w:tblPrEx>
        <w:trPr>
          <w:trHeight w:val="6600" w:hRule="exact"/>
        </w:trPr>
        <w:tc>
          <w:p>
            <w:pPr>
              <w:pStyle w:val="4"/>
            </w:pPr>
          </w:p>
        </w:tc>
        <w:tc>
          <w:tcPr>
            <w:gridSpan w:val="2"/>
          </w:tcPr>
          <w:p>
            <w:pPr>
              <w:pStyle w:val="4"/>
            </w:pPr>
          </w:p>
        </w:tc>
        <w:tc>
          <w:tcPr>
            <w:gridSpan w:val="21"/>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gridCol w:w="3200"/>
              <w:gridCol w:w="3200"/>
              <w:gridCol w:w="30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blPrEx>
                      <w:tblCellMar>
                        <w:top w:w="0" w:type="dxa"/>
                        <w:left w:w="10" w:type="dxa"/>
                        <w:bottom w:w="0" w:type="dxa"/>
                        <w:right w:w="10" w:type="dxa"/>
                      </w:tblCellMar>
                    </w:tblPrEx>
                    <w:trPr>
                      <w:trHeight w:val="580" w:hRule="atLeast"/>
                    </w:trPr>
                    <w:tc>
                      <w:tcPr>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投资者类别</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持有份额（份）</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占总份额占比（%）</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blPrEx>
                      <w:tblCellMar>
                        <w:top w:w="0" w:type="dxa"/>
                        <w:left w:w="10" w:type="dxa"/>
                        <w:bottom w:w="0" w:type="dxa"/>
                        <w:right w:w="10" w:type="dxa"/>
                      </w:tblCellMar>
                    </w:tblPrEx>
                    <w:trPr>
                      <w:trHeight w:val="580" w:hRule="atLeast"/>
                    </w:trPr>
                    <w:tc>
                      <w:tcPr>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个人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523,973,754.40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5.0672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rPr>
                      <w:trHeight w:val="580" w:hRule="atLeast"/>
                    </w:trPr>
                    <w:tc>
                      <w:tcPr>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个人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178,745,440.99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1.7286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blPrEx>
                      <w:tblCellMar>
                        <w:top w:w="0" w:type="dxa"/>
                        <w:left w:w="10" w:type="dxa"/>
                        <w:bottom w:w="0" w:type="dxa"/>
                        <w:right w:w="10" w:type="dxa"/>
                      </w:tblCellMar>
                    </w:tblPrEx>
                    <w:trPr>
                      <w:trHeight w:val="580" w:hRule="atLeast"/>
                    </w:trPr>
                    <w:tc>
                      <w:tcPr>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个人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82,326,315.05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0.7962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blPrEx>
                      <w:tblCellMar>
                        <w:top w:w="0" w:type="dxa"/>
                        <w:left w:w="10" w:type="dxa"/>
                        <w:bottom w:w="0" w:type="dxa"/>
                        <w:right w:w="10" w:type="dxa"/>
                      </w:tblCellMar>
                    </w:tblPrEx>
                    <w:trPr>
                      <w:trHeight w:val="580" w:hRule="atLeast"/>
                    </w:trPr>
                    <w:tc>
                      <w:tcPr>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个人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76,728,745.58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0.7420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blPrEx>
                      <w:tblCellMar>
                        <w:top w:w="0" w:type="dxa"/>
                        <w:left w:w="10" w:type="dxa"/>
                        <w:bottom w:w="0" w:type="dxa"/>
                        <w:right w:w="10" w:type="dxa"/>
                      </w:tblCellMar>
                    </w:tblPrEx>
                    <w:trPr>
                      <w:trHeight w:val="580" w:hRule="atLeast"/>
                    </w:trPr>
                    <w:tc>
                      <w:tcPr>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个人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68,970,299.29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0.6670</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rPr>
                      <w:trHeight w:val="580" w:hRule="atLeast"/>
                    </w:trPr>
                    <w:tc>
                      <w:tcPr>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个人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65,734,291.29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0.6357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blPrEx>
                      <w:tblCellMar>
                        <w:top w:w="0" w:type="dxa"/>
                        <w:left w:w="10" w:type="dxa"/>
                        <w:bottom w:w="0" w:type="dxa"/>
                        <w:right w:w="10" w:type="dxa"/>
                      </w:tblCellMar>
                    </w:tblPrEx>
                    <w:trPr>
                      <w:trHeight w:val="580" w:hRule="atLeast"/>
                    </w:trPr>
                    <w:tc>
                      <w:tcPr>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个人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52,077,249.56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0.5036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rPr>
                      <w:trHeight w:val="580" w:hRule="atLeast"/>
                    </w:trPr>
                    <w:tc>
                      <w:tcPr>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个人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50,819,284.65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0.4915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rPr>
                      <w:trHeight w:val="580" w:hRule="atLeast"/>
                    </w:trPr>
                    <w:tc>
                      <w:tcPr>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个人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48,043,090.36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0.4646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blPrEx>
                      <w:tblCellMar>
                        <w:top w:w="0" w:type="dxa"/>
                        <w:left w:w="10" w:type="dxa"/>
                        <w:bottom w:w="0" w:type="dxa"/>
                        <w:right w:w="10" w:type="dxa"/>
                      </w:tblCellMar>
                    </w:tblPrEx>
                    <w:trPr>
                      <w:trHeight w:val="580" w:hRule="atLeast"/>
                    </w:trPr>
                    <w:tc>
                      <w:tcPr>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个人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47,494,271.37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0.4593</w:t>
                        </w:r>
                      </w:p>
                    </w:tc>
                  </w:tr>
                </w:tbl>
                <w:p>
                  <w:pPr>
                    <w:pStyle w:val="4"/>
                  </w:pPr>
                </w:p>
              </w:tc>
            </w:tr>
          </w:tbl>
          <w:p>
            <w:pPr>
              <w:pStyle w:val="4"/>
            </w:pPr>
          </w:p>
        </w:tc>
        <w:tc>
          <w:p>
            <w:pPr>
              <w:pStyle w:val="4"/>
            </w:pPr>
          </w:p>
        </w:tc>
        <w:tc>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5"/>
          </w:tcPr>
          <w:p>
            <w:pPr>
              <w:pStyle w:val="4"/>
            </w:pPr>
          </w:p>
        </w:tc>
        <w:tc>
          <w:tcPr>
            <w:gridSpan w:val="3"/>
          </w:tcPr>
          <w:p>
            <w:pPr>
              <w:pStyle w:val="4"/>
            </w:pPr>
          </w:p>
        </w:tc>
        <w:tc>
          <w:tcPr>
            <w:gridSpan w:val="2"/>
          </w:tcPr>
          <w:p>
            <w:pPr>
              <w:pStyle w:val="4"/>
            </w:pPr>
          </w:p>
        </w:tc>
        <w:tc>
          <w:tcPr>
            <w:gridSpan w:val="5"/>
          </w:tcPr>
          <w:p>
            <w:pPr>
              <w:pStyle w:val="4"/>
            </w:pPr>
          </w:p>
        </w:tc>
        <w:tc>
          <w:tcPr>
            <w:gridSpan w:val="6"/>
          </w:tcPr>
          <w:p>
            <w:pPr>
              <w:pStyle w:val="4"/>
            </w:pPr>
          </w:p>
        </w:tc>
        <w:tc>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4"/>
            <w:tcMar>
              <w:top w:w="0" w:type="dxa"/>
              <w:left w:w="0" w:type="dxa"/>
              <w:bottom w:w="0" w:type="dxa"/>
              <w:right w:w="0" w:type="dxa"/>
            </w:tcMar>
            <w:vAlign w:val="center"/>
          </w:tcPr>
          <w:p>
            <w:pPr>
              <w:jc w:val="left"/>
            </w:pPr>
            <w:r>
              <w:rPr>
                <w:rFonts w:ascii="宋体" w:hAnsi="宋体" w:eastAsia="宋体" w:cs="宋体"/>
                <w:b/>
                <w:color w:val="000000"/>
                <w:sz w:val="21"/>
              </w:rPr>
              <w:t>8.影响理财份额投资人决策的其他重要信息</w:t>
            </w: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4"/>
            <w:tcMar>
              <w:top w:w="0" w:type="dxa"/>
              <w:left w:w="0" w:type="dxa"/>
              <w:bottom w:w="0" w:type="dxa"/>
              <w:right w:w="0" w:type="dxa"/>
            </w:tcMar>
            <w:vAlign w:val="center"/>
          </w:tcPr>
          <w:p>
            <w:pPr>
              <w:jc w:val="left"/>
            </w:pPr>
            <w:r>
              <w:rPr>
                <w:rFonts w:ascii="宋体" w:hAnsi="宋体" w:eastAsia="宋体" w:cs="宋体"/>
                <w:color w:val="000000"/>
                <w:sz w:val="20"/>
              </w:rPr>
              <w:t xml:space="preserve"> 8.1报告期内单一投资者持有产品份额达到或者超过该产品总份额20%的情形</w:t>
            </w:r>
          </w:p>
        </w:tc>
        <w:tc>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24"/>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1000"/>
            </w:tblGrid>
            <w:tr>
              <w:tblPrEx>
                <w:tblCellMar>
                  <w:top w:w="0" w:type="dxa"/>
                  <w:left w:w="10" w:type="dxa"/>
                  <w:bottom w:w="0" w:type="dxa"/>
                  <w:right w:w="10" w:type="dxa"/>
                </w:tblCellMar>
              </w:tblPrEx>
              <w:trPr>
                <w:trHeight w:val="600" w:hRule="exact"/>
              </w:trPr>
              <w:tc>
                <w:tcPr>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1000"/>
                  </w:tblGrid>
                  <w:tr>
                    <w:trPr>
                      <w:trHeight w:val="600" w:hRule="atLeast"/>
                    </w:trPr>
                    <w:tc>
                      <w:tcPr>
                        <w:tcMar>
                          <w:top w:w="0" w:type="dxa"/>
                          <w:left w:w="0" w:type="dxa"/>
                          <w:bottom w:w="0" w:type="dxa"/>
                          <w:right w:w="0" w:type="dxa"/>
                        </w:tcMar>
                        <w:vAlign w:val="center"/>
                      </w:tcPr>
                      <w:p>
                        <w:pPr>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tcPr>
            <w:gridSpan w:val="2"/>
          </w:tcPr>
          <w:p>
            <w:pPr>
              <w:pStyle w:val="4"/>
            </w:pPr>
          </w:p>
        </w:tc>
        <w:tc>
          <w:tcPr>
            <w:gridSpan w:val="5"/>
          </w:tcPr>
          <w:p>
            <w:pPr>
              <w:pStyle w:val="4"/>
            </w:pPr>
          </w:p>
        </w:tc>
        <w:tc>
          <w:tcPr>
            <w:gridSpan w:val="3"/>
          </w:tcPr>
          <w:p>
            <w:pPr>
              <w:pStyle w:val="4"/>
            </w:pPr>
          </w:p>
        </w:tc>
        <w:tc>
          <w:tcPr>
            <w:gridSpan w:val="2"/>
          </w:tcPr>
          <w:p>
            <w:pPr>
              <w:pStyle w:val="4"/>
            </w:pPr>
          </w:p>
        </w:tc>
        <w:tc>
          <w:tcPr>
            <w:gridSpan w:val="5"/>
          </w:tcPr>
          <w:p>
            <w:pPr>
              <w:pStyle w:val="4"/>
            </w:pPr>
          </w:p>
        </w:tc>
        <w:tc>
          <w:tcPr>
            <w:gridSpan w:val="6"/>
          </w:tcPr>
          <w:p>
            <w:pPr>
              <w:pStyle w:val="4"/>
            </w:pPr>
          </w:p>
        </w:tc>
        <w:tc>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7"/>
            <w:tcMar>
              <w:top w:w="0" w:type="dxa"/>
              <w:left w:w="0" w:type="dxa"/>
              <w:bottom w:w="0" w:type="dxa"/>
              <w:right w:w="0" w:type="dxa"/>
            </w:tcMar>
            <w:vAlign w:val="center"/>
          </w:tcPr>
          <w:p>
            <w:pPr>
              <w:jc w:val="right"/>
            </w:pPr>
            <w:r>
              <w:rPr>
                <w:rFonts w:ascii="宋体" w:hAnsi="宋体" w:eastAsia="宋体" w:cs="宋体"/>
                <w:color w:val="000000"/>
                <w:sz w:val="21"/>
              </w:rPr>
              <w:t>兴业银行股份有限公司</w:t>
            </w:r>
          </w:p>
        </w:tc>
        <w:tc>
          <w:tcPr>
            <w:gridSpan w:val="6"/>
          </w:tcPr>
          <w:p>
            <w:pPr>
              <w:pStyle w:val="4"/>
            </w:pPr>
          </w:p>
        </w:tc>
        <w:tc>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7"/>
            <w:tcMar>
              <w:top w:w="0" w:type="dxa"/>
              <w:left w:w="0" w:type="dxa"/>
              <w:bottom w:w="0" w:type="dxa"/>
              <w:right w:w="0" w:type="dxa"/>
            </w:tcMar>
            <w:vAlign w:val="top"/>
          </w:tcPr>
          <w:p>
            <w:pPr>
              <w:jc w:val="right"/>
            </w:pPr>
            <w:r>
              <w:rPr>
                <w:rFonts w:ascii="宋体" w:hAnsi="宋体" w:eastAsia="宋体" w:cs="宋体"/>
                <w:color w:val="000000"/>
                <w:sz w:val="21"/>
              </w:rPr>
              <w:t>2022年5月11日</w:t>
            </w:r>
          </w:p>
        </w:tc>
        <w:tc>
          <w:tcPr>
            <w:gridSpan w:val="6"/>
          </w:tcPr>
          <w:p>
            <w:pPr>
              <w:pStyle w:val="4"/>
            </w:pPr>
          </w:p>
        </w:tc>
        <w:tc>
          <w:p>
            <w:pPr>
              <w:pStyle w:val="4"/>
            </w:pPr>
          </w:p>
        </w:tc>
        <w:tc>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tcPr>
            <w:gridSpan w:val="2"/>
          </w:tcPr>
          <w:p>
            <w:pPr>
              <w:pStyle w:val="4"/>
            </w:pPr>
          </w:p>
        </w:tc>
        <w:tc>
          <w:tcPr>
            <w:gridSpan w:val="5"/>
          </w:tcPr>
          <w:p>
            <w:pPr>
              <w:pStyle w:val="4"/>
            </w:pPr>
          </w:p>
        </w:tc>
        <w:tc>
          <w:tcPr>
            <w:gridSpan w:val="3"/>
          </w:tcPr>
          <w:p>
            <w:pPr>
              <w:pStyle w:val="4"/>
            </w:pPr>
          </w:p>
        </w:tc>
        <w:tc>
          <w:tcPr>
            <w:gridSpan w:val="2"/>
          </w:tcPr>
          <w:p>
            <w:pPr>
              <w:pStyle w:val="4"/>
            </w:pPr>
          </w:p>
        </w:tc>
        <w:tc>
          <w:tcPr>
            <w:gridSpan w:val="5"/>
          </w:tcPr>
          <w:p>
            <w:pPr>
              <w:pStyle w:val="4"/>
            </w:pPr>
          </w:p>
        </w:tc>
        <w:tc>
          <w:tcPr>
            <w:gridSpan w:val="6"/>
          </w:tcPr>
          <w:p>
            <w:pPr>
              <w:pStyle w:val="4"/>
            </w:pPr>
          </w:p>
        </w:tc>
        <w:tc>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5"/>
          </w:tcPr>
          <w:p>
            <w:pPr>
              <w:pStyle w:val="4"/>
            </w:pPr>
          </w:p>
        </w:tc>
        <w:tc>
          <w:tcPr>
            <w:gridSpan w:val="6"/>
          </w:tcPr>
          <w:p>
            <w:pPr>
              <w:pStyle w:val="4"/>
            </w:pPr>
          </w:p>
        </w:tc>
        <w:tc>
          <w:p>
            <w:pPr>
              <w:pStyle w:val="4"/>
            </w:pPr>
          </w:p>
        </w:tc>
        <w:tc>
          <w:p>
            <w:pPr>
              <w:pStyle w:val="4"/>
            </w:pPr>
          </w:p>
        </w:tc>
        <w:tc>
          <w:p>
            <w:pPr>
              <w:pStyle w:val="4"/>
            </w:pPr>
          </w:p>
        </w:tc>
      </w:tr>
    </w:tbl>
    <w:p/>
    <w:sectPr>
      <w:pgSz w:w="11900" w:h="16840"/>
      <w:pgMar w:top="600" w:right="2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800"/>
  <w:compat>
    <w:useFELayout/>
    <w:splitPgBreakAndParaMark/>
    <w:compatSetting w:name="compatibilityMode" w:uri="http://schemas.microsoft.com/office/word" w:val="12"/>
  </w:compat>
  <w:docVars>
    <w:docVar w:name="commondata" w:val="eyJoZGlkIjoiYzhlZjE2NzA4YjlmNzdkZWI0ZGJiOTI3NDc0M2Q1NDYifQ=="/>
  </w:docVars>
  <w:rsids>
    <w:rsidRoot w:val="00000000"/>
    <w:rsid w:val="072753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 1_TH"/>
    <w:qFormat/>
    <w:uiPriority w:val="0"/>
    <w:pPr>
      <w:spacing w:line="240" w:lineRule="auto"/>
    </w:pPr>
    <w:rPr>
      <w:rFonts w:ascii="SansSerif" w:hAnsi="SansSerif" w:eastAsia="SansSerif" w:cs="SansSerif"/>
      <w:color w:val="000000"/>
      <w:sz w:val="20"/>
      <w:szCs w:val="22"/>
    </w:rPr>
  </w:style>
  <w:style w:type="paragraph" w:customStyle="1" w:styleId="9">
    <w:name w:val="Table 1_CH"/>
    <w:qFormat/>
    <w:uiPriority w:val="0"/>
    <w:pPr>
      <w:spacing w:line="240" w:lineRule="auto"/>
    </w:pPr>
    <w:rPr>
      <w:rFonts w:ascii="SansSerif" w:hAnsi="SansSerif" w:eastAsia="SansSerif" w:cs="SansSerif"/>
      <w:color w:val="000000"/>
      <w:sz w:val="20"/>
      <w:szCs w:val="22"/>
    </w:rPr>
  </w:style>
  <w:style w:type="paragraph" w:customStyle="1" w:styleId="10">
    <w:name w:val="Table 1_TD"/>
    <w:qFormat/>
    <w:uiPriority w:val="0"/>
    <w:pPr>
      <w:spacing w:line="240" w:lineRule="auto"/>
    </w:pPr>
    <w:rPr>
      <w:rFonts w:ascii="SansSerif" w:hAnsi="SansSerif" w:eastAsia="SansSerif" w:cs="SansSerif"/>
      <w:color w:val="000000"/>
      <w:sz w:val="20"/>
      <w:szCs w:val="22"/>
    </w:rPr>
  </w:style>
  <w:style w:type="paragraph" w:customStyle="1" w:styleId="11">
    <w:name w:val="Table 2_TH"/>
    <w:qFormat/>
    <w:uiPriority w:val="0"/>
    <w:pPr>
      <w:spacing w:line="240" w:lineRule="auto"/>
    </w:pPr>
    <w:rPr>
      <w:rFonts w:ascii="SansSerif" w:hAnsi="SansSerif" w:eastAsia="SansSerif" w:cs="SansSerif"/>
      <w:color w:val="000000"/>
      <w:sz w:val="20"/>
      <w:szCs w:val="22"/>
    </w:rPr>
  </w:style>
  <w:style w:type="paragraph" w:customStyle="1" w:styleId="12">
    <w:name w:val="Table 2_CH"/>
    <w:qFormat/>
    <w:uiPriority w:val="0"/>
    <w:pPr>
      <w:spacing w:line="240" w:lineRule="auto"/>
    </w:pPr>
    <w:rPr>
      <w:rFonts w:ascii="SansSerif" w:hAnsi="SansSerif" w:eastAsia="SansSerif" w:cs="SansSerif"/>
      <w:color w:val="000000"/>
      <w:sz w:val="20"/>
      <w:szCs w:val="22"/>
    </w:rPr>
  </w:style>
  <w:style w:type="paragraph" w:customStyle="1" w:styleId="13">
    <w:name w:val="Table 2_TD"/>
    <w:qFormat/>
    <w:uiPriority w:val="0"/>
    <w:pPr>
      <w:spacing w:line="240" w:lineRule="auto"/>
    </w:pPr>
    <w:rPr>
      <w:rFonts w:ascii="SansSerif" w:hAnsi="SansSerif" w:eastAsia="SansSerif" w:cs="SansSerif"/>
      <w:color w:val="000000"/>
      <w:sz w:val="20"/>
      <w:szCs w:val="22"/>
    </w:rPr>
  </w:style>
  <w:style w:type="paragraph" w:customStyle="1" w:styleId="14">
    <w:name w:val="Table_CD"/>
    <w:qFormat/>
    <w:uiPriority w:val="0"/>
    <w:pPr>
      <w:spacing w:line="240" w:lineRule="auto"/>
    </w:pPr>
    <w:rPr>
      <w:rFonts w:ascii="SansSerif" w:hAnsi="SansSerif" w:eastAsia="SansSerif" w:cs="SansSerif"/>
      <w:color w:val="000000"/>
      <w:sz w:val="20"/>
      <w:szCs w:val="22"/>
    </w:rPr>
  </w:style>
  <w:style w:type="paragraph" w:customStyle="1" w:styleId="15">
    <w:name w:val="Table 3_TH"/>
    <w:qFormat/>
    <w:uiPriority w:val="0"/>
    <w:pPr>
      <w:spacing w:line="240" w:lineRule="auto"/>
    </w:pPr>
    <w:rPr>
      <w:rFonts w:ascii="SansSerif" w:hAnsi="SansSerif" w:eastAsia="SansSerif" w:cs="SansSerif"/>
      <w:color w:val="000000"/>
      <w:sz w:val="20"/>
      <w:szCs w:val="22"/>
    </w:rPr>
  </w:style>
  <w:style w:type="paragraph" w:customStyle="1" w:styleId="16">
    <w:name w:val="Table 3_CH"/>
    <w:qFormat/>
    <w:uiPriority w:val="0"/>
    <w:pPr>
      <w:spacing w:line="240" w:lineRule="auto"/>
    </w:pPr>
    <w:rPr>
      <w:rFonts w:ascii="SansSerif" w:hAnsi="SansSerif" w:eastAsia="SansSerif" w:cs="SansSerif"/>
      <w:color w:val="000000"/>
      <w:sz w:val="20"/>
      <w:szCs w:val="22"/>
    </w:rPr>
  </w:style>
  <w:style w:type="paragraph" w:customStyle="1" w:styleId="17">
    <w:name w:val="Table 3_TD"/>
    <w:qFormat/>
    <w:uiPriority w:val="0"/>
    <w:pPr>
      <w:spacing w:line="240" w:lineRule="auto"/>
    </w:pPr>
    <w:rPr>
      <w:rFonts w:ascii="SansSerif" w:hAnsi="SansSerif" w:eastAsia="SansSerif" w:cs="SansSerif"/>
      <w:color w:val="000000"/>
      <w:sz w:val="20"/>
      <w:szCs w:val="22"/>
    </w:rPr>
  </w:style>
  <w:style w:type="paragraph" w:customStyle="1" w:styleId="18">
    <w:name w:val="Table 4_TH"/>
    <w:qFormat/>
    <w:uiPriority w:val="0"/>
    <w:pPr>
      <w:spacing w:line="240" w:lineRule="auto"/>
    </w:pPr>
    <w:rPr>
      <w:rFonts w:ascii="SansSerif" w:hAnsi="SansSerif" w:eastAsia="SansSerif" w:cs="SansSerif"/>
      <w:color w:val="000000"/>
      <w:sz w:val="20"/>
      <w:szCs w:val="22"/>
    </w:rPr>
  </w:style>
  <w:style w:type="paragraph" w:customStyle="1" w:styleId="19">
    <w:name w:val="Table 4_CH"/>
    <w:qFormat/>
    <w:uiPriority w:val="0"/>
    <w:pPr>
      <w:spacing w:line="240" w:lineRule="auto"/>
    </w:pPr>
    <w:rPr>
      <w:rFonts w:ascii="SansSerif" w:hAnsi="SansSerif" w:eastAsia="SansSerif" w:cs="SansSerif"/>
      <w:color w:val="000000"/>
      <w:sz w:val="20"/>
      <w:szCs w:val="22"/>
    </w:rPr>
  </w:style>
  <w:style w:type="paragraph" w:customStyle="1" w:styleId="20">
    <w:name w:val="Table 4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3738</Words>
  <Characters>4676</Characters>
  <TotalTime>0</TotalTime>
  <ScaleCrop>false</ScaleCrop>
  <LinksUpToDate>false</LinksUpToDate>
  <CharactersWithSpaces>4832</CharactersWithSpaces>
  <Application>WPS Office_11.1.0.11636_F1E327BC-269C-435d-A152-05C5408002CA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2022-05-06T07:13:06Z</dcterms:created>
  <dc:creator>Administrator</dc:creator>
  <cp:lastModifiedBy>Administrator</cp:lastModifiedBy>
  <dcterms:modified xsi:type="dcterms:W3CDTF">2022-05-06T07:13:57Z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3C8AEEF37726495FAAD9982707C5D2CC</vt:lpwstr>
  </property>
</Properties>
</file>