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42" w:type="dxa"/>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100"/>
        <w:gridCol w:w="160"/>
        <w:gridCol w:w="40"/>
        <w:gridCol w:w="1"/>
      </w:tblGrid>
      <w:tr>
        <w:tblPrEx>
          <w:tblCellMar>
            <w:top w:w="0" w:type="dxa"/>
            <w:left w:w="10" w:type="dxa"/>
            <w:bottom w:w="0" w:type="dxa"/>
            <w:right w:w="10" w:type="dxa"/>
          </w:tblCellMar>
        </w:tblPrEx>
        <w:trPr>
          <w:gridAfter w:val="7"/>
          <w:wAfter w:w="34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4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兴业银行现金宝（3号）人民币理财产品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7"/>
          <w:wAfter w:w="34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7"/>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7"/>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7"/>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兴业银行现金宝（3号）人民币理财产品</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90612011</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C1030912000647</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25,095,380,536.62份</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7"/>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7"/>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7"/>
          <w:wAfter w:w="340" w:type="dxa"/>
          <w:trHeight w:val="5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报告期内，90612011七日年化收益率均值2.8025%。同期业绩比较基准如下：</w:t>
            </w:r>
          </w:p>
        </w:tc>
        <w:tc>
          <w:p>
            <w:pPr>
              <w:pStyle w:val="4"/>
            </w:pPr>
          </w:p>
        </w:tc>
      </w:tr>
      <w:tr>
        <w:tblPrEx>
          <w:tblCellMar>
            <w:top w:w="0" w:type="dxa"/>
            <w:left w:w="10" w:type="dxa"/>
            <w:bottom w:w="0" w:type="dxa"/>
            <w:right w:w="10" w:type="dxa"/>
          </w:tblCellMar>
        </w:tblPrEx>
        <w:trPr>
          <w:gridAfter w:val="7"/>
          <w:wAfter w:w="340" w:type="dxa"/>
          <w:trHeight w:val="12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4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2021-12-02至2021-12-31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0.7188</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2.5350%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25,095,380,536.62</w:t>
            </w:r>
          </w:p>
        </w:tc>
        <w:tc>
          <w:p>
            <w:pPr>
              <w:pStyle w:val="4"/>
            </w:pPr>
          </w:p>
        </w:tc>
        <w:tc>
          <w:p>
            <w:pPr>
              <w:pStyle w:val="4"/>
            </w:pPr>
          </w:p>
        </w:tc>
      </w:tr>
      <w:tr>
        <w:tblPrEx>
          <w:tblCellMar>
            <w:top w:w="0" w:type="dxa"/>
            <w:left w:w="10" w:type="dxa"/>
            <w:bottom w:w="0" w:type="dxa"/>
            <w:right w:w="10" w:type="dxa"/>
          </w:tblCellMar>
        </w:tblPrEx>
        <w:trPr>
          <w:gridAfter w:val="7"/>
          <w:wAfter w:w="3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7"/>
          <w:wAfter w:w="3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34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bookmarkStart w:id="10" w:name="_GoBack"/>
            <w:bookmarkEnd w:id="10"/>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7"/>
          <w:wAfter w:w="34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340" w:type="dxa"/>
          <w:trHeight w:val="82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通过稳健的投资风格实现相对稳定的收益。根据我们对市场的预判，积极把握四季度收益率短暂回升的时间窗口构建资产，品种上仍然维持以利率债、同业存单及高评级信用债为主，同时搭配存放同业、ABS等资产，保证产品流动性安全的同时兼顾组合收益，策略上以票息策略为主，杠杆及交易性策略为辅。</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w:t>
            </w: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化。</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2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2800" w:hRule="atLeast"/>
        </w:trPr>
        <w:tc>
          <w:p>
            <w:pPr>
              <w:pStyle w:val="4"/>
            </w:pPr>
          </w:p>
        </w:tc>
        <w:tc>
          <w:p>
            <w:pPr>
              <w:pStyle w:val="4"/>
            </w:pPr>
          </w:p>
        </w:tc>
        <w:tc>
          <w:tcPr>
            <w:gridSpan w:val="18"/>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p>
            <w:pPr>
              <w:pStyle w:val="4"/>
            </w:pPr>
          </w:p>
        </w:tc>
      </w:tr>
      <w:tr>
        <w:tblPrEx>
          <w:tblCellMar>
            <w:top w:w="0" w:type="dxa"/>
            <w:left w:w="10" w:type="dxa"/>
            <w:bottom w:w="0" w:type="dxa"/>
            <w:right w:w="10" w:type="dxa"/>
          </w:tblCellMar>
        </w:tblPrEx>
        <w:trPr>
          <w:gridAfter w:val="5"/>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1480" w:hRule="atLeast"/>
        </w:trPr>
        <w:tc>
          <w:p>
            <w:pPr>
              <w:pStyle w:val="4"/>
            </w:pPr>
          </w:p>
        </w:tc>
        <w:tc>
          <w:tcPr>
            <w:gridSpan w:val="17"/>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5"/>
          <w:wAfter w:w="32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2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5"/>
          <w:wAfter w:w="32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20" w:type="dxa"/>
          <w:trHeight w:val="4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5"/>
          <w:wAfter w:w="32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tcPr>
            <w:gridSpan w:val="2"/>
          </w:tcPr>
          <w:p>
            <w:pPr>
              <w:pStyle w:val="4"/>
            </w:pPr>
          </w:p>
        </w:tc>
        <w:tc>
          <w:p>
            <w:pPr>
              <w:pStyle w:val="4"/>
            </w:pPr>
          </w:p>
        </w:tc>
      </w:tr>
      <w:tr>
        <w:trPr>
          <w:gridAfter w:val="7"/>
          <w:wAfter w:w="340" w:type="dxa"/>
          <w:trHeight w:val="0" w:hRule="atLeast"/>
        </w:trPr>
        <w:tc>
          <w:p>
            <w:pPr>
              <w:pStyle w:val="4"/>
              <w:pageBreakBefore/>
            </w:pPr>
            <w:bookmarkStart w:id="5" w:name="JR_PAGE_ANCHOR_0_6"/>
            <w:bookmarkEnd w:id="5"/>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rPr>
          <w:gridAfter w:val="7"/>
          <w:wAfter w:w="34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7"/>
          <w:wAfter w:w="340" w:type="dxa"/>
          <w:trHeight w:val="5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7"/>
          <w:wAfter w:w="34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21平安银行CD268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1,266,813,877.95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975,010,569.92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974,848,733.67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974,564,164.47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17邮储银行二级01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909,854,769.13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21恒丰银行CD274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855,547,505.63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40" w:type="dxa"/>
          <w:trHeight w:val="386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4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7"/>
          <w:wAfter w:w="340" w:type="dxa"/>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19太钢MTN001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19首钢MTN002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21华数SCP006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18北控集MTN002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18晋焦煤MTN005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19外高桥MTN001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19外高桥MTN002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19湘高速MTN002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21湖交投SCP002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21皖投集MTN002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19国开投MTN001A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19兴业租赁债01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18余姚城投MTN002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0" w:hRule="atLeast"/>
        </w:trPr>
        <w:tc>
          <w:p>
            <w:pPr>
              <w:pStyle w:val="4"/>
              <w:pageBreakBefore/>
            </w:pPr>
            <w:bookmarkStart w:id="7" w:name="JR_PAGE_ANCHOR_0_8"/>
            <w:bookmarkEnd w:id="7"/>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7"/>
          <w:wAfter w:w="340" w:type="dxa"/>
          <w:trHeight w:val="12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19余姚城投MTN001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20张江高科MTN002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20江北新区MTN002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21中银投资MTN001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21建邺国资MTN001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21武进经发SCP007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21福耀玻璃SCP003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21福耀玻璃SCP005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21国联MTN002(权益出资)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21川高速MTN004(权益出资)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21苏交通MTN003(权益出资)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4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7"/>
          <w:wAfter w:w="34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4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4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7"/>
          <w:wAfter w:w="340" w:type="dxa"/>
          <w:trHeight w:val="4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兴业银行股份有限公司理财产品托管专户（现金宝3号）</w:t>
                        </w:r>
                      </w:p>
                    </w:tc>
                  </w:tr>
                </w:tbl>
                <w:p>
                  <w:pPr>
                    <w:pStyle w:val="4"/>
                  </w:pPr>
                </w:p>
              </w:tc>
            </w:tr>
          </w:tbl>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2"/>
          </w:tcPr>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141,988,047.11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0.5658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119,279,143.44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0.4753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78,952,436.42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0.3146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72,252,757.24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0.2879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63,660,901.91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49,040,635.12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48,072,837.38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45,739,487.77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0.1823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35,554,637.40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0.1417</w:t>
                        </w:r>
                      </w:p>
                    </w:tc>
                  </w:tr>
                </w:tbl>
                <w:p>
                  <w:pPr>
                    <w:pStyle w:val="4"/>
                  </w:pPr>
                </w:p>
              </w:tc>
            </w:tr>
          </w:tbl>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168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tcPr>
            <w:gridSpan w:val="4"/>
          </w:tcPr>
          <w:p>
            <w:pPr>
              <w:pStyle w:val="4"/>
            </w:pPr>
          </w:p>
        </w:tc>
        <w:tc>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gridAfter w:val="7"/>
          <w:wAfter w:w="340" w:type="dxa"/>
          <w:trHeight w:val="0" w:hRule="atLeast"/>
        </w:trPr>
        <w:tc>
          <w:p>
            <w:pPr>
              <w:pStyle w:val="4"/>
              <w:pageBreakBefore/>
            </w:pPr>
            <w:bookmarkStart w:id="9" w:name="JR_PAGE_ANCHOR_0_10"/>
            <w:bookmarkEnd w:id="9"/>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兴业银行现金宝（3号）人民币理财产品2021年年度报告</w:t>
            </w: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40" w:type="dxa"/>
          <w:trHeight w:val="12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p>
            <w:pPr>
              <w:pStyle w:val="4"/>
            </w:pPr>
          </w:p>
        </w:tc>
      </w:tr>
      <w:tr>
        <w:tblPrEx>
          <w:tblCellMar>
            <w:top w:w="0" w:type="dxa"/>
            <w:left w:w="10" w:type="dxa"/>
            <w:bottom w:w="0" w:type="dxa"/>
            <w:right w:w="10" w:type="dxa"/>
          </w:tblCellMar>
        </w:tblPrEx>
        <w:trPr>
          <w:gridAfter w:val="7"/>
          <w:wAfter w:w="340" w:type="dxa"/>
          <w:trHeight w:val="128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57372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4173</Words>
  <Characters>5901</Characters>
  <TotalTime>1</TotalTime>
  <ScaleCrop>false</ScaleCrop>
  <LinksUpToDate>false</LinksUpToDate>
  <CharactersWithSpaces>6056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2022-05-06T07:09:49Z</dcterms:created>
  <dc:creator>Administrator</dc:creator>
  <cp:lastModifiedBy>Administrator</cp:lastModifiedBy>
  <dcterms:modified xsi:type="dcterms:W3CDTF">2022-05-06T07:11:13Z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C959A2187B2E4AE798EB42F6E60E8C9C</vt:lpwstr>
  </property>
</Properties>
</file>