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兴银理财增盈优选16号净值型理财产品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896,914,857.09份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616,542,639.26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280,372,217.83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产品9K220926自成立日以来，累计净值增长率为4.9530%，年化累计净值增长率为5.1069%。</w:t>
              <w:br/>
              <w:t xml:space="preserve">产品9K220936自成立日以来，累计净值增长率为5.0540%，年化累计净值增长率为5.2110%。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941,620,951.82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647,078,084.90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294,542,866.92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短期权益市场缺乏主线，板块风格轮到加快，整体来看结构性行情预计延续，货币政策阶段性不会收紧，无系统性风险的情况下大幅下跌风险不大；策略方面，仓位维持中性偏低继续调结构，认为四季度金融周期可能会有阶段性机会，一方面是盈利另一方是资金切换低估板块，同时主线新能源、高端制造等热点成长板块顺势而为。</w:t>
              <w:br/>
              <w:t xml:space="preserve">    债券方面，中期战略上继续看多 ，短期不确定性较大，目前仓位和久期都不算低，所以可以耐心持仓。</w:t>
              <w:br/>
              <w:t xml:space="preserve">    四季度债券收益率受经济和通胀预期影响，先上后下，整体无论是驱动还是趋势继续维持向好，所以也不用过分谨慎，策略上短期维持中性偏高仓位顺势而为即可。</w:t>
              <w:br/>
              <w:t xml:space="preserve">    衍生品策略方面，后期积极开展相关策略交易。</w:t>
              <w:b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br/>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21苏长江口ZR001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71,005,060.00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60,902,100.00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60,804,540.00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50,351,550.00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21中化04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40,111,160.00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20洛建01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30,424,830.00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30,131,970.00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