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兴银理财财智人生灵动1号A款净值型理财产品2021年年度报告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兴银理财财智人生灵动1号A款净值型理财产品</w:t>
              <w:br/>
              <w:t xml:space="preserve">2021年年度报告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报告送出日期：2022年5月11日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兴银理财财智人生灵动1号A款净值型理财产品2021年年度报告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理财托管机构报告</w:t>
              <w:br/>
              <w:t xml:space="preserve">§ 七. 审计报告</w:t>
              <w:br/>
              <w:t xml:space="preserve">§ 八.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 </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兴银理财财智人生灵动1号A款净值型理财产品2021年年度报告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兴银理财财智人生灵动1号A款净值型理财产品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9K211010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Z7002020000104</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772,490,986.71份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R3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29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20"/>
        <w:gridCol w:w="2580"/>
        <w:gridCol w:w="800"/>
        <w:gridCol w:w="1700"/>
        <w:gridCol w:w="300"/>
        <w:gridCol w:w="2000"/>
        <w:gridCol w:w="400"/>
        <w:gridCol w:w="2400"/>
        <w:gridCol w:w="400"/>
        <w:gridCol w:w="10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10"/>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兴银理财财智人生灵动1号A款净值型理财产品2021年年度报告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10"/>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10"/>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8"/>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产品9K211010自成立日以来，累计净值增长率为8.0310%，年化累计净值增长率为5.6371%。</w:t>
              <w:br/>
              <w:t xml:space="preserve">报告期末，产品净值表现具体如下：</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估值日期</w:t>
            </w: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产品份额净值</w:t>
            </w:r>
          </w:p>
        </w:tc>
        <w:tc>
          <w:tcPr>
            <w:gridSpan w:val="3"/>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产品累计净值 </w:t>
            </w: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产品资产净值</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2021年12月31日</w:t>
            </w: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1.02517</w:t>
            </w:r>
          </w:p>
        </w:tc>
        <w:tc>
          <w:tcPr>
            <w:gridSpan w:val="3"/>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1.08031</w:t>
            </w: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791,934,961.08</w:t>
            </w: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10"/>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gridSpan w:val="10"/>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薛纪晔先生，香港中文大学管理学博士，清华大学数学系硕士和本科，5年资产管理和衍生品研究经验。2018年加入兴业银行资产管理部担任投资经理。曾任中国金融期货交易所金融期货博士后研究员，在衍生品投资研究方面具有丰富经验。</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10"/>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900"/>
        </w:trPr>
        <w:tc>
          <w:tcPr>
     </w:tcPr>
          <w:p>
            <w:pPr>
              <w:pStyle w:val="EMPTY_CELL_STYLE"/>
            </w:pPr>
          </w:p>
        </w:tc>
        <w:tc>
          <w:tcPr>
            <w:gridSpan w:val="10"/>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明年6款固收+产品的权益仓位保持中性，目前两年期产品穿透后的仓位控制在10%以内，一年期穿透后的仓位控制在8%以内，半年期产品的仓位控制在5%以内。所有产品的持仓相对均衡，40%的价值+60%的成长。明年继续对债券谨慎乐观，尽管国内经济下行已经确认，但后续随着宽信用重启和中美利差的缩小，国内债券面临一定的调整压力。债券部分，考虑保持目前债券的中性久期不变，通过增持少量价值类（比如顺周期的大金融和消费）进行对冲。权益部分四季度仍然保持乐观，在国内货币政策不收紧的前提下，权益市场不会出现大的风险，目前判断仍然是结构性行情，价值和成长的切换会较为频繁。后续主要还是要看经济何时企稳。</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10"/>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理财托管机构报告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00"/>
        </w:trPr>
        <w:tc>
          <w:tcPr>
     </w:tcPr>
          <w:p>
            <w:pPr>
              <w:pStyle w:val="EMPTY_CELL_STYLE"/>
            </w:pPr>
          </w:p>
        </w:tc>
        <w:tc>
          <w:tcPr>
     </w:tcPr>
          <w:p>
            <w:pPr>
              <w:pStyle w:val="EMPTY_CELL_STYLE"/>
            </w:pPr>
          </w:p>
        </w:tc>
        <w:tc>
          <w:tcPr>
            <w:gridSpan w:val="10"/>
            <w:tcMar>
              <w:top w:w="0" w:type="dxa"/>
              <w:left w:w="0" w:type="dxa"/>
              <w:bottom w:w="0" w:type="dxa"/>
              <w:right w:w="0" w:type="dxa"/>
            </w:tcMar>
            <w:vAlign w:val="top"/>
          </w:tcPr>
          <w:p>
            <w:pPr>
              <w:ind/>
              <w:jc w:val="left"/>
              <w:spacing w:lineRule="exact" w:line="320" w:after="0" w:before="0"/>
            </w:pPr>
            <w:r>
              <w:rPr>
                <w:rFonts w:ascii="宋体" w:hAnsi="宋体" w:eastAsia="宋体" w:cs="宋体"/>
                <w:color w:val="000000"/>
                <w:sz w:val="21"/>
              </w:rPr>
              <w:br/>
              <w:t xml:space="preserve">    报告期内，托管人严格遵守《商业银行理财业务监督管理办法》及相关法律法规规定、理财产品托管协议约定，诚实信用、谨慎勤勉地履行了托管人义务，不存在损害理财产品投资者利益的行为。</w:t>
              <w:br/>
              <w:t xml:space="preserve">    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br/>
              <w:t xml:space="preserve">    托管人认真复核了本报告中的净值表现、投资组合报告等内容，认为其真实、准确和完整，不存在虚假记载、误导性陈述或者重大遗漏。</w:t>
              <w:br/>
            </w:r>
          </w:p>
        </w:tc>
        <w:tc>
          <w:tcPr>
     </w:tcPr>
          <w:p>
            <w:pPr>
              <w:pStyle w:val="EMPTY_CELL_STYLE"/>
            </w:pPr>
          </w:p>
        </w:tc>
      </w:tr>
      <w:tr>
        <w:trPr>
          <w:trHeight w:hRule="exact" w:val="7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兴银理财财智人生灵动1号A款净值型理财产品2021年年度报告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七. 审计报告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480"/>
        </w:trPr>
        <w:tc>
          <w:tcPr>
     </w:tcPr>
          <w:p>
            <w:pPr>
              <w:pStyle w:val="EMPTY_CELL_STYLE"/>
            </w:pPr>
          </w:p>
        </w:tc>
        <w:tc>
          <w:tcPr>
            <w:gridSpan w:val="5"/>
            <w:tcMar>
              <w:top w:w="0" w:type="dxa"/>
              <w:left w:w="0" w:type="dxa"/>
              <w:bottom w:w="0" w:type="dxa"/>
              <w:right w:w="0" w:type="dxa"/>
            </w:tcMar>
            <w:vAlign w:val="center"/>
          </w:tcPr>
          <w:p>
            <w:pPr>
              <w:ind/>
              <w:jc w:val="left"/>
              <w:spacing w:lineRule="exact" w:line="320" w:after="0" w:before="0"/>
            </w:pPr>
            <w:r>
              <w:rPr>
                <w:rFonts w:ascii="宋体" w:hAnsi="宋体" w:eastAsia="宋体" w:cs="宋体"/>
                <w:color w:val="000000"/>
                <w:sz w:val="21"/>
              </w:rPr>
              <w:br/>
              <w:t xml:space="preserve">    本产品聘请毕马威会计师事务所（特殊普通合伙）上海分所依据中国注册会计师审计准则对本产品的财务报表，包括2021年12月31日的资产负债表，2021年度的利润表和理财产品净值变动表以及相关财务报表附注进行了审计，并出具审计报告。</w:t>
            </w: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八.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36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4000"/>
              <w:gridCol w:w="31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直接投资占比（%）</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间接投资占比（%）</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6.71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9.26</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89.44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89.44</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衍生品</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3.85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0"/>
        <w:gridCol w:w="3200"/>
        <w:gridCol w:w="2000"/>
        <w:gridCol w:w="2000"/>
        <w:gridCol w:w="330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兴银理财财智人生灵动1号A款净值型理财产品2021年年度报告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6640"/>
        </w:trPr>
        <w:tc>
          <w:tcPr>
     </w:tcPr>
          <w:p>
            <w:pPr>
              <w:pStyle w:val="EMPTY_CELL_STYLE"/>
            </w:pPr>
          </w:p>
        </w:tc>
        <w:tc>
          <w:tcPr>
            <w:gridSpan w:val="5"/>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Z存放同业（线上）20211223001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21陕有色MTN001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30,979,320.00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3.91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20株国06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29,922,900.00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3.78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21光证G1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25,866,129.00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兴业期货-财智人生灵动1号单一资产管理计划</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24,460,439.66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20宜管廊</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21,308,980.00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21淮安水利PPN001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20,547,380.00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21郴福01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20,494,800.00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21常德城投PPN001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20,469,820.00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21财金投资MTN001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20,467,340.00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2.58</w:t>
                        </w:r>
                      </w:p>
                    </w:tc>
                  </w:tr>
                </w:tbl>
                <w:p>
                  <w:pPr>
                    <w:pStyle w:val="EMPTY_CELL_STYLE"/>
                  </w:pPr>
                </w:p>
              </w:tc>
            </w:tr>
          </w:tbl>
          <w:p>
            <w:pPr>
              <w:pStyle w:val="EMPTY_CELL_STYLE"/>
            </w:pPr>
          </w:p>
        </w:tc>
        <w:tc>
          <w:tcPr>
     </w:tcPr>
          <w:p>
            <w:pPr>
              <w:pStyle w:val="EMPTY_CELL_STYLE"/>
            </w:pPr>
          </w:p>
        </w:tc>
      </w:tr>
      <w:tr>
        <w:trPr>
          <w:trHeight w:hRule="exact" w:val="1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r>
      <w:tr>
        <w:trPr>
          <w:trHeight w:hRule="exact" w:val="6000"/>
        </w:trPr>
        <w:tc>
          <w:tcPr>
     </w:tcPr>
          <w:p>
            <w:pPr>
              <w:pStyle w:val="EMPTY_CELL_STYLE"/>
            </w:pPr>
          </w:p>
        </w:tc>
        <w:tc>
          <w:tcPr>
            <w:gridSpan w:val="5"/>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9K211010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21陕有色MTN001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9K211010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21靖江城投CP001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9K211010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20柳州城投PPN002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9K211010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20盐城东方MTN001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9K211010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21华远陆港PPN001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9K211010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21常德城投PPN001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9K211010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21海安开投SCP002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9K211010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21淮安水利PPN001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9K211010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21漳州交运PPN003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r>
      <w:tr>
        <w:trPr>
          <w:trHeight w:hRule="exact" w:val="4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兴银理财财智人生灵动1号A款净值型理财产品2021年年度报告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9K211010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21紫金矿业MTN001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9K211010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21钟楼新城PPN001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9K211010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21铜梁金龙MTN001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13,500,000.00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9K211010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21镇江城建SCP013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051010100101068813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兴银理财财智人生灵动1号A款净值型理财产品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2022年5月11日</w:t>
            </w:r>
          </w:p>
        </w:tc>
        <w:tc>
          <w:tcPr>
     </w:tcPr>
          <w:p>
            <w:pPr>
              <w:pStyle w:val="EMPTY_CELL_STYLE"/>
            </w:pPr>
          </w:p>
        </w:tc>
        <w:tc>
          <w:tcPr>
     </w:tcPr>
          <w:p>
            <w:pPr>
              <w:pStyle w:val="EMPTY_CELL_STYLE"/>
            </w:pPr>
          </w:p>
        </w:tc>
      </w:tr>
      <w:tr>
        <w:trPr>
          <w:trHeight w:hRule="exact" w:val="52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