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兴银理财天天万利宝稳利3号净值型理财产品O款</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兴银理财天天万利宝稳利3号净值型理财产品O款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1,900,000,000份</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稳利3号O款(A类)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1,000,000,000.00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稳利3号O款(B类)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700,000,000.00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稳利3号O款(C类)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产品9K212113自成立日以来，累计净值增长率为6.5200%，年化累计净值增长率为3.8508%。</w:t>
            </w:r>
            <w:r>
              <w:rPr>
                <w:rFonts w:ascii="宋体" w:hAnsi="宋体" w:eastAsia="宋体" w:cs="宋体"/>
                <w:color w:val="000000"/>
                <w:sz w:val="21"/>
              </w:rPr>
              <w:br w:type="textWrapping"/>
            </w:r>
            <w:r>
              <w:rPr>
                <w:rFonts w:ascii="宋体" w:hAnsi="宋体" w:eastAsia="宋体" w:cs="宋体"/>
                <w:color w:val="000000"/>
                <w:sz w:val="21"/>
              </w:rPr>
              <w:t>产品9K212213自成立日以来，累计净值增长率为6.4510%，年化累计净值增长率为3.8101%。</w:t>
            </w:r>
            <w:r>
              <w:rPr>
                <w:rFonts w:ascii="宋体" w:hAnsi="宋体" w:eastAsia="宋体" w:cs="宋体"/>
                <w:color w:val="000000"/>
                <w:sz w:val="21"/>
              </w:rPr>
              <w:br w:type="textWrapping"/>
            </w:r>
            <w:r>
              <w:rPr>
                <w:rFonts w:ascii="宋体" w:hAnsi="宋体" w:eastAsia="宋体" w:cs="宋体"/>
                <w:color w:val="000000"/>
                <w:sz w:val="21"/>
              </w:rPr>
              <w:t>产品9K212313自成立日以来，累计净值增长率为6.3640%，年化累计净值增长率为3.7587%。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2,023,087,005.55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1,065,204,268.39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745,155,279.08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212,727,458.08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债券市场受资金面波动和供给错位等多方面影响，2021年国内债市主线是融资收缩背景下结构性资产荒驱动债市走出一轮小牛市。</w:t>
            </w:r>
            <w:r>
              <w:rPr>
                <w:rFonts w:ascii="宋体" w:hAnsi="宋体" w:eastAsia="宋体" w:cs="宋体"/>
                <w:color w:val="000000"/>
                <w:sz w:val="21"/>
              </w:rPr>
              <w:br w:type="textWrapping"/>
            </w:r>
            <w:r>
              <w:rPr>
                <w:rFonts w:ascii="宋体" w:hAnsi="宋体" w:eastAsia="宋体" w:cs="宋体"/>
                <w:color w:val="000000"/>
                <w:sz w:val="21"/>
              </w:rP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r>
            <w:r>
              <w:rPr>
                <w:rFonts w:ascii="宋体" w:hAnsi="宋体" w:eastAsia="宋体" w:cs="宋体"/>
                <w:color w:val="000000"/>
                <w:sz w:val="21"/>
              </w:rPr>
              <w:br w:type="textWrapping"/>
            </w:r>
            <w:r>
              <w:rPr>
                <w:rFonts w:ascii="宋体" w:hAnsi="宋体" w:eastAsia="宋体" w:cs="宋体"/>
                <w:color w:val="000000"/>
                <w:sz w:val="21"/>
              </w:rP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行官员</w:t>
            </w:r>
            <w:bookmarkStart w:id="8" w:name="_GoBack"/>
            <w:bookmarkEnd w:id="8"/>
            <w:r>
              <w:rPr>
                <w:rFonts w:ascii="宋体" w:hAnsi="宋体" w:eastAsia="宋体" w:cs="宋体"/>
                <w:color w:val="000000"/>
                <w:sz w:val="21"/>
              </w:rPr>
              <w:t>提及十年国债处于偏低位置，市场降准预期明显减弱，利率债在四季度初开始加速下跌，10年国债收益率自四季度初的2.87%大幅上行至3.05%一线，信用债收益率普遍从8月底低位上行20-40bp。</w:t>
            </w:r>
            <w:r>
              <w:rPr>
                <w:rFonts w:ascii="宋体" w:hAnsi="宋体" w:eastAsia="宋体" w:cs="宋体"/>
                <w:color w:val="000000"/>
                <w:sz w:val="21"/>
              </w:rPr>
              <w:br w:type="textWrapping"/>
            </w:r>
            <w:r>
              <w:rPr>
                <w:rFonts w:ascii="宋体" w:hAnsi="宋体" w:eastAsia="宋体" w:cs="宋体"/>
                <w:color w:val="000000"/>
                <w:sz w:val="21"/>
              </w:rP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二、2021年运作回顾</w:t>
            </w:r>
            <w:r>
              <w:rPr>
                <w:rFonts w:ascii="宋体" w:hAnsi="宋体" w:eastAsia="宋体" w:cs="宋体"/>
                <w:color w:val="000000"/>
                <w:sz w:val="21"/>
              </w:rPr>
              <w:br w:type="textWrapping"/>
            </w:r>
            <w:r>
              <w:rPr>
                <w:rFonts w:ascii="宋体" w:hAnsi="宋体" w:eastAsia="宋体" w:cs="宋体"/>
                <w:color w:val="000000"/>
                <w:sz w:val="21"/>
              </w:rPr>
              <w:t xml:space="preserve">    专户产品运作回顾：</w:t>
            </w:r>
            <w:r>
              <w:rPr>
                <w:rFonts w:ascii="宋体" w:hAnsi="宋体" w:eastAsia="宋体" w:cs="宋体"/>
                <w:color w:val="000000"/>
                <w:sz w:val="21"/>
              </w:rPr>
              <w:br w:type="textWrapping"/>
            </w:r>
            <w:r>
              <w:rPr>
                <w:rFonts w:ascii="宋体" w:hAnsi="宋体" w:eastAsia="宋体" w:cs="宋体"/>
                <w:color w:val="000000"/>
                <w:sz w:val="21"/>
              </w:rP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r>
            <w:r>
              <w:rPr>
                <w:rFonts w:ascii="宋体" w:hAnsi="宋体" w:eastAsia="宋体" w:cs="宋体"/>
                <w:color w:val="000000"/>
                <w:sz w:val="21"/>
              </w:rPr>
              <w:br w:type="textWrapping"/>
            </w:r>
            <w:r>
              <w:rPr>
                <w:rFonts w:ascii="宋体" w:hAnsi="宋体" w:eastAsia="宋体" w:cs="宋体"/>
                <w:color w:val="000000"/>
                <w:sz w:val="21"/>
              </w:rP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r>
            <w:r>
              <w:rPr>
                <w:rFonts w:ascii="宋体" w:hAnsi="宋体" w:eastAsia="宋体" w:cs="宋体"/>
                <w:color w:val="000000"/>
                <w:sz w:val="21"/>
              </w:rPr>
              <w:br w:type="textWrapping"/>
            </w:r>
            <w:r>
              <w:rPr>
                <w:rFonts w:ascii="宋体" w:hAnsi="宋体" w:eastAsia="宋体" w:cs="宋体"/>
                <w:color w:val="000000"/>
                <w:sz w:val="21"/>
              </w:rPr>
              <w:t xml:space="preserve">    三、2022年一季度投资策略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1、发挥票息策略优势，同时维持中性偏积极的杠杆水平与中性偏积极的组合久期。</w:t>
            </w:r>
            <w:r>
              <w:rPr>
                <w:rFonts w:ascii="宋体" w:hAnsi="宋体" w:eastAsia="宋体" w:cs="宋体"/>
                <w:color w:val="000000"/>
                <w:sz w:val="21"/>
              </w:rPr>
              <w:br w:type="textWrapping"/>
            </w:r>
            <w:r>
              <w:rPr>
                <w:rFonts w:ascii="宋体" w:hAnsi="宋体" w:eastAsia="宋体" w:cs="宋体"/>
                <w:color w:val="000000"/>
                <w:sz w:val="21"/>
              </w:rPr>
              <w:t xml:space="preserve">    2、开放式产品优化资产配置结构，估值整改背景下控制产品收益波动。</w:t>
            </w:r>
            <w:r>
              <w:rPr>
                <w:rFonts w:ascii="宋体" w:hAnsi="宋体" w:eastAsia="宋体" w:cs="宋体"/>
                <w:color w:val="000000"/>
                <w:sz w:val="21"/>
              </w:rPr>
              <w:br w:type="textWrapping"/>
            </w:r>
            <w:r>
              <w:rPr>
                <w:rFonts w:ascii="宋体" w:hAnsi="宋体" w:eastAsia="宋体" w:cs="宋体"/>
                <w:color w:val="000000"/>
                <w:sz w:val="21"/>
              </w:rPr>
              <w:t xml:space="preserve">    3、专户产品保持久期中性，积极运用杠杆策略，把握行业利差、区域利差变化的收益挖掘机会和利率反弹时的配置机会。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4、关注货币政策边际变化和稳增长措施落地带来的交易机会。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480" w:hRule="atLeast"/>
        </w:trPr>
        <w:tc>
          <w:p>
            <w:pPr>
              <w:pStyle w:val="4"/>
            </w:pPr>
          </w:p>
        </w:tc>
        <w:tc>
          <w:tcPr>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21苏元01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100,995,400.00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100,018,187.94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15投资01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90,958,050.00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20天投G1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60,574,140.00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60,320,666.72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19环球03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50,175,178.21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21桂投资SCP005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50,042,950.00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19贵州高速MTN001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50,017,407.30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18安租04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50,000,446.87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21桂投资SCP005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21湖北文旅CP002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19贵州高速MTN001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3E3B5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3925</Words>
  <Characters>4819</Characters>
  <TotalTime>0</TotalTime>
  <ScaleCrop>false</ScaleCrop>
  <LinksUpToDate>false</LinksUpToDate>
  <CharactersWithSpaces>5000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2022-05-06T05:48:49Z</dcterms:created>
  <dc:creator>Administrator</dc:creator>
  <cp:lastModifiedBy>Administrator</cp:lastModifiedBy>
  <dcterms:modified xsi:type="dcterms:W3CDTF">2022-05-06T05:50:19Z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444CB8FC01884F6FBF8047F2922018DC</vt:lpwstr>
  </property>
</Properties>
</file>