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5,084,662,817.30份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产品9K212017自成立日以来，累计净值增长率为14.4770%，年化累计净值增长率为8.1671%。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1.08477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1.14477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5,515,697,579.48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6年的债券投资交易经验，曾任职于中国农业银行金融市场部，于2020年7月加入兴银理财，担任固定收益部投资经理，投资交易经验丰富，注重基本面和政策研究，关注资产性价比，追求稳定回报。</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389,682,800.00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300,928,885.34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292,236,600.00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21平证05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197,750,200.00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146,158,050.00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142,917,139.63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121,653,840.00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121,038,720.00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21国际港务MTN001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21福州新发MTN001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