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742" w:type="dxa"/>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Layout w:type="fixed"/>
          <w:tblCellMar>
            <w:top w:w="0" w:type="dxa"/>
            <w:left w:w="10" w:type="dxa"/>
            <w:bottom w:w="0" w:type="dxa"/>
            <w:right w:w="10" w:type="dxa"/>
          </w:tblCellMar>
        </w:tblPrEx>
        <w:trPr>
          <w:gridAfter w:val="4"/>
          <w:wAfter w:w="40" w:type="dxa"/>
          <w:trHeight w:val="0" w:hRule="atLeast"/>
        </w:trPr>
        <w:tc>
          <w:tcPr>
            <w:tcW w:w="1" w:type="dxa"/>
          </w:tcPr>
          <w:p>
            <w:pPr>
              <w:pStyle w:val="4"/>
            </w:pPr>
            <w:bookmarkStart w:id="0" w:name="JR_PAGE_ANCHOR_0_1"/>
            <w:bookmarkEnd w:id="0"/>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兴银理财灵动全天候12号净值型理财产品2021年年度报告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96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3020" w:hRule="atLeast"/>
        </w:trPr>
        <w:tc>
          <w:tcPr>
            <w:tcW w:w="1" w:type="dxa"/>
          </w:tcPr>
          <w:p>
            <w:pPr>
              <w:pStyle w:val="4"/>
            </w:pPr>
          </w:p>
        </w:tc>
        <w:tc>
          <w:tcPr>
            <w:tcW w:w="10700" w:type="dxa"/>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兴银理财灵动全天候12号净值型理财产品</w:t>
            </w:r>
            <w:r>
              <w:rPr>
                <w:rFonts w:ascii="宋体" w:hAnsi="宋体" w:eastAsia="宋体" w:cs="宋体"/>
                <w:b/>
                <w:color w:val="000000"/>
                <w:sz w:val="32"/>
              </w:rPr>
              <w:br w:type="textWrapping"/>
            </w:r>
            <w:r>
              <w:rPr>
                <w:rFonts w:ascii="宋体" w:hAnsi="宋体" w:eastAsia="宋体" w:cs="宋体"/>
                <w:b/>
                <w:color w:val="000000"/>
                <w:sz w:val="32"/>
              </w:rPr>
              <w:t>2021年年度报告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60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报告送出日期：2022年5月11日</w:t>
            </w: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72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0" w:hRule="atLeast"/>
        </w:trPr>
        <w:tc>
          <w:tcPr>
            <w:tcW w:w="1" w:type="dxa"/>
          </w:tcPr>
          <w:p>
            <w:pPr>
              <w:pStyle w:val="4"/>
              <w:pageBreakBefore/>
            </w:pPr>
            <w:bookmarkStart w:id="1" w:name="JR_PAGE_ANCHOR_0_2"/>
            <w:bookmarkEnd w:id="1"/>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兴银理财灵动全天候12号净值型理财产品2021年年度报告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84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2000" w:type="dxa"/>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4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840" w:hRule="atLeast"/>
        </w:trPr>
        <w:tc>
          <w:tcPr>
            <w:tcW w:w="1" w:type="dxa"/>
          </w:tcPr>
          <w:p>
            <w:pPr>
              <w:pStyle w:val="4"/>
            </w:pPr>
          </w:p>
        </w:tc>
        <w:tc>
          <w:tcPr>
            <w:tcW w:w="100" w:type="dxa"/>
            <w:gridSpan w:val="3"/>
          </w:tcPr>
          <w:p>
            <w:pPr>
              <w:pStyle w:val="4"/>
            </w:pPr>
          </w:p>
        </w:tc>
        <w:tc>
          <w:tcPr>
            <w:tcW w:w="10400" w:type="dxa"/>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理财托管机构报告</w:t>
            </w:r>
            <w:r>
              <w:rPr>
                <w:rFonts w:ascii="宋体" w:hAnsi="宋体" w:eastAsia="宋体" w:cs="宋体"/>
                <w:color w:val="000000"/>
                <w:sz w:val="21"/>
              </w:rPr>
              <w:br w:type="textWrapping"/>
            </w:r>
            <w:r>
              <w:rPr>
                <w:rFonts w:ascii="宋体" w:hAnsi="宋体" w:eastAsia="宋体" w:cs="宋体"/>
                <w:color w:val="000000"/>
                <w:sz w:val="21"/>
              </w:rPr>
              <w:t>§ 七. 审计报告</w:t>
            </w:r>
            <w:r>
              <w:rPr>
                <w:rFonts w:ascii="宋体" w:hAnsi="宋体" w:eastAsia="宋体" w:cs="宋体"/>
                <w:color w:val="000000"/>
                <w:sz w:val="21"/>
              </w:rPr>
              <w:br w:type="textWrapping"/>
            </w:r>
            <w:r>
              <w:rPr>
                <w:rFonts w:ascii="宋体" w:hAnsi="宋体" w:eastAsia="宋体" w:cs="宋体"/>
                <w:color w:val="000000"/>
                <w:sz w:val="21"/>
              </w:rPr>
              <w:t>§ 八.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8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0" w:type="dxa"/>
            <w:gridSpan w:val="3"/>
          </w:tcPr>
          <w:p>
            <w:pPr>
              <w:pStyle w:val="4"/>
            </w:pPr>
          </w:p>
        </w:tc>
        <w:tc>
          <w:tcPr>
            <w:tcW w:w="3300" w:type="dxa"/>
            <w:gridSpan w:val="3"/>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0" w:hRule="atLeast"/>
        </w:trPr>
        <w:tc>
          <w:tcPr>
            <w:tcW w:w="1" w:type="dxa"/>
          </w:tcPr>
          <w:p>
            <w:pPr>
              <w:pStyle w:val="4"/>
              <w:pageBreakBefore/>
            </w:pPr>
            <w:bookmarkStart w:id="2" w:name="JR_PAGE_ANCHOR_0_3"/>
            <w:bookmarkEnd w:id="2"/>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兴银理财灵动全天候12号净值型理财产品2021年年度报告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3080" w:hRule="atLeast"/>
        </w:trPr>
        <w:tc>
          <w:tcPr>
            <w:tcW w:w="1" w:type="dxa"/>
          </w:tcPr>
          <w:p>
            <w:pPr>
              <w:pStyle w:val="4"/>
            </w:pPr>
          </w:p>
        </w:tc>
        <w:tc>
          <w:tcPr>
            <w:tcW w:w="10700" w:type="dxa"/>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兴银理财灵动全天候12号净值型理财产品</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9K212062</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Z7002020000205</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2,006,602,689.05份</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w:t>
            </w:r>
            <w:r>
              <w:rPr>
                <w:rFonts w:hint="eastAsia" w:ascii="宋体" w:hAnsi="宋体" w:eastAsia="宋体" w:cs="宋体"/>
                <w:color w:val="000000"/>
                <w:sz w:val="21"/>
                <w:lang w:val="en-US" w:eastAsia="zh-CN"/>
              </w:rPr>
              <w:t>/业绩报酬计提基准</w:t>
            </w:r>
            <w:bookmarkStart w:id="8" w:name="_GoBack"/>
            <w:bookmarkEnd w:id="8"/>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rPr>
                <w:rFonts w:hint="eastAsia" w:eastAsia="宋体"/>
                <w:lang w:val="en-US" w:eastAsia="zh-CN"/>
              </w:rPr>
            </w:pPr>
            <w:r>
              <w:rPr>
                <w:rFonts w:ascii="宋体" w:hAnsi="宋体" w:eastAsia="宋体" w:cs="宋体"/>
                <w:color w:val="000000"/>
                <w:sz w:val="21"/>
              </w:rPr>
              <w:t>3.00%-6.50%</w:t>
            </w:r>
            <w:r>
              <w:rPr>
                <w:rFonts w:hint="eastAsia" w:ascii="宋体" w:hAnsi="宋体" w:eastAsia="宋体" w:cs="宋体"/>
                <w:color w:val="000000"/>
                <w:sz w:val="21"/>
                <w:lang w:val="en-US" w:eastAsia="zh-CN"/>
              </w:rPr>
              <w:t>/业绩比较基准上限</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400" w:hRule="exact"/>
        </w:trPr>
        <w:tc>
          <w:tcPr>
            <w:tcW w:w="1" w:type="dxa"/>
          </w:tcPr>
          <w:p>
            <w:pPr>
              <w:pStyle w:val="4"/>
            </w:pPr>
          </w:p>
        </w:tc>
        <w:tc>
          <w:tcPr>
            <w:tcW w:w="10700" w:type="dxa"/>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3000"/>
              <w:gridCol w:w="3600"/>
              <w:gridCol w:w="4100"/>
            </w:tblGrid>
            <w:tr>
              <w:tblPrEx>
                <w:tblLayout w:type="fixed"/>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3"/>
                    <w:tblW w:w="3000" w:type="dxa"/>
                    <w:tblInd w:w="0" w:type="dxa"/>
                    <w:tblLayout w:type="fixed"/>
                    <w:tblCellMar>
                      <w:top w:w="0" w:type="dxa"/>
                      <w:left w:w="10" w:type="dxa"/>
                      <w:bottom w:w="0" w:type="dxa"/>
                      <w:right w:w="10" w:type="dxa"/>
                    </w:tblCellMar>
                  </w:tblPr>
                  <w:tblGrid>
                    <w:gridCol w:w="2980"/>
                    <w:gridCol w:w="20"/>
                  </w:tblGrid>
                  <w:tr>
                    <w:tblPrEx>
                      <w:tblLayout w:type="fixed"/>
                      <w:tblCellMar>
                        <w:top w:w="0" w:type="dxa"/>
                        <w:left w:w="10" w:type="dxa"/>
                        <w:bottom w:w="0" w:type="dxa"/>
                        <w:right w:w="10" w:type="dxa"/>
                      </w:tblCellMar>
                    </w:tblPrEx>
                    <w:trPr>
                      <w:trHeight w:val="580" w:hRule="atLeast"/>
                    </w:trPr>
                    <w:tc>
                      <w:tcPr>
                        <w:tcW w:w="2980" w:type="dxa"/>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tcPr>
                        <w:tcW w:w="20" w:type="dxa"/>
                      </w:tcPr>
                      <w:p>
                        <w:pPr>
                          <w:pStyle w:val="4"/>
                        </w:pP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3"/>
                    <w:tblW w:w="3600" w:type="dxa"/>
                    <w:tblInd w:w="0" w:type="dxa"/>
                    <w:tblLayout w:type="fixed"/>
                    <w:tblCellMar>
                      <w:top w:w="0" w:type="dxa"/>
                      <w:left w:w="10" w:type="dxa"/>
                      <w:bottom w:w="0" w:type="dxa"/>
                      <w:right w:w="10" w:type="dxa"/>
                    </w:tblCellMar>
                  </w:tblPr>
                  <w:tblGrid>
                    <w:gridCol w:w="3600"/>
                  </w:tblGrid>
                  <w:tr>
                    <w:tblPrEx>
                      <w:tblLayout w:type="fixed"/>
                      <w:tblCellMar>
                        <w:top w:w="0" w:type="dxa"/>
                        <w:left w:w="10" w:type="dxa"/>
                        <w:bottom w:w="0" w:type="dxa"/>
                        <w:right w:w="10" w:type="dxa"/>
                      </w:tblCellMar>
                    </w:tblPrEx>
                    <w:trPr>
                      <w:trHeight w:val="580" w:hRule="atLeast"/>
                    </w:trPr>
                    <w:tc>
                      <w:tcPr>
                        <w:tcW w:w="3600" w:type="dxa"/>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W w:w="4100" w:type="dxa"/>
                  <w:tcBorders>
                    <w:top w:val="single" w:color="000000" w:sz="2" w:space="0"/>
                    <w:left w:val="single" w:color="000000" w:sz="2" w:space="0"/>
                    <w:bottom w:val="single" w:color="000000" w:sz="2" w:space="0"/>
                  </w:tcBorders>
                  <w:tcMar>
                    <w:top w:w="0" w:type="dxa"/>
                    <w:left w:w="0" w:type="dxa"/>
                    <w:bottom w:w="20" w:type="dxa"/>
                    <w:right w:w="0" w:type="dxa"/>
                  </w:tcMar>
                </w:tcPr>
                <w:tbl>
                  <w:tblPr>
                    <w:tblStyle w:val="3"/>
                    <w:tblW w:w="4100" w:type="dxa"/>
                    <w:tblInd w:w="0" w:type="dxa"/>
                    <w:tblLayout w:type="fixed"/>
                    <w:tblCellMar>
                      <w:top w:w="0" w:type="dxa"/>
                      <w:left w:w="10" w:type="dxa"/>
                      <w:bottom w:w="0" w:type="dxa"/>
                      <w:right w:w="10" w:type="dxa"/>
                    </w:tblCellMar>
                  </w:tblPr>
                  <w:tblGrid>
                    <w:gridCol w:w="4100"/>
                  </w:tblGrid>
                  <w:tr>
                    <w:tblPrEx>
                      <w:tblLayout w:type="fixed"/>
                      <w:tblCellMar>
                        <w:top w:w="0" w:type="dxa"/>
                        <w:left w:w="10" w:type="dxa"/>
                        <w:bottom w:w="0" w:type="dxa"/>
                        <w:right w:w="10" w:type="dxa"/>
                      </w:tblCellMar>
                    </w:tblPrEx>
                    <w:trPr>
                      <w:trHeight w:val="580" w:hRule="atLeast"/>
                    </w:trPr>
                    <w:tc>
                      <w:tcPr>
                        <w:tcW w:w="4100" w:type="dxa"/>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Layout w:type="fixed"/>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560" w:hRule="atLeast"/>
                    </w:trPr>
                    <w:tc>
                      <w:tcPr>
                        <w:tcW w:w="3000" w:type="dxa"/>
                        <w:tcMar>
                          <w:top w:w="0" w:type="dxa"/>
                          <w:left w:w="0" w:type="dxa"/>
                          <w:bottom w:w="20" w:type="dxa"/>
                          <w:right w:w="0" w:type="dxa"/>
                        </w:tcMar>
                        <w:vAlign w:val="center"/>
                      </w:tcPr>
                      <w:p>
                        <w:pPr>
                          <w:ind w:firstLine="0"/>
                          <w:jc w:val="center"/>
                        </w:pPr>
                        <w:r>
                          <w:rPr>
                            <w:rFonts w:ascii="宋体" w:hAnsi="宋体" w:eastAsia="宋体" w:cs="宋体"/>
                            <w:color w:val="000000"/>
                            <w:sz w:val="21"/>
                          </w:rPr>
                          <w:t>灵动12号年年升A</w:t>
                        </w: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600" w:type="dxa"/>
                    <w:tblInd w:w="0" w:type="dxa"/>
                    <w:tblLayout w:type="fixed"/>
                    <w:tblCellMar>
                      <w:top w:w="0" w:type="dxa"/>
                      <w:left w:w="10" w:type="dxa"/>
                      <w:bottom w:w="0" w:type="dxa"/>
                      <w:right w:w="10" w:type="dxa"/>
                    </w:tblCellMar>
                  </w:tblPr>
                  <w:tblGrid>
                    <w:gridCol w:w="3600"/>
                  </w:tblGrid>
                  <w:tr>
                    <w:tblPrEx>
                      <w:tblLayout w:type="fixed"/>
                      <w:tblCellMar>
                        <w:top w:w="0" w:type="dxa"/>
                        <w:left w:w="10" w:type="dxa"/>
                        <w:bottom w:w="0" w:type="dxa"/>
                        <w:right w:w="10" w:type="dxa"/>
                      </w:tblCellMar>
                    </w:tblPrEx>
                    <w:trPr>
                      <w:trHeight w:val="560" w:hRule="atLeast"/>
                    </w:trPr>
                    <w:tc>
                      <w:tcPr>
                        <w:tcW w:w="36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9K212162</w:t>
                        </w:r>
                      </w:p>
                    </w:tc>
                  </w:tr>
                </w:tbl>
                <w:p>
                  <w:pPr>
                    <w:pStyle w:val="4"/>
                  </w:pPr>
                </w:p>
              </w:tc>
              <w:tc>
                <w:tcPr>
                  <w:tcW w:w="4100" w:type="dxa"/>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3"/>
                    <w:tblW w:w="4100" w:type="dxa"/>
                    <w:tblInd w:w="0" w:type="dxa"/>
                    <w:tblLayout w:type="fixed"/>
                    <w:tblCellMar>
                      <w:top w:w="0" w:type="dxa"/>
                      <w:left w:w="10" w:type="dxa"/>
                      <w:bottom w:w="0" w:type="dxa"/>
                      <w:right w:w="10" w:type="dxa"/>
                    </w:tblCellMar>
                  </w:tblPr>
                  <w:tblGrid>
                    <w:gridCol w:w="4100"/>
                  </w:tblGrid>
                  <w:tr>
                    <w:tblPrEx>
                      <w:tblLayout w:type="fixed"/>
                      <w:tblCellMar>
                        <w:top w:w="0" w:type="dxa"/>
                        <w:left w:w="10" w:type="dxa"/>
                        <w:bottom w:w="0" w:type="dxa"/>
                        <w:right w:w="10" w:type="dxa"/>
                      </w:tblCellMar>
                    </w:tblPrEx>
                    <w:trPr>
                      <w:trHeight w:val="560" w:hRule="atLeast"/>
                    </w:trPr>
                    <w:tc>
                      <w:tcPr>
                        <w:tcW w:w="41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1,721,031,939.03</w:t>
                        </w:r>
                      </w:p>
                    </w:tc>
                  </w:tr>
                </w:tbl>
                <w:p>
                  <w:pPr>
                    <w:pStyle w:val="4"/>
                  </w:pPr>
                </w:p>
              </w:tc>
            </w:tr>
            <w:tr>
              <w:tblPrEx>
                <w:tblLayout w:type="fixed"/>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560" w:hRule="atLeast"/>
                    </w:trPr>
                    <w:tc>
                      <w:tcPr>
                        <w:tcW w:w="3000" w:type="dxa"/>
                        <w:tcMar>
                          <w:top w:w="0" w:type="dxa"/>
                          <w:left w:w="0" w:type="dxa"/>
                          <w:bottom w:w="20" w:type="dxa"/>
                          <w:right w:w="0" w:type="dxa"/>
                        </w:tcMar>
                        <w:vAlign w:val="center"/>
                      </w:tcPr>
                      <w:p>
                        <w:pPr>
                          <w:ind w:firstLine="0"/>
                          <w:jc w:val="center"/>
                        </w:pPr>
                        <w:r>
                          <w:rPr>
                            <w:rFonts w:ascii="宋体" w:hAnsi="宋体" w:eastAsia="宋体" w:cs="宋体"/>
                            <w:color w:val="000000"/>
                            <w:sz w:val="21"/>
                          </w:rPr>
                          <w:t>灵动12号年年升B</w:t>
                        </w: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600" w:type="dxa"/>
                    <w:tblInd w:w="0" w:type="dxa"/>
                    <w:tblLayout w:type="fixed"/>
                    <w:tblCellMar>
                      <w:top w:w="0" w:type="dxa"/>
                      <w:left w:w="10" w:type="dxa"/>
                      <w:bottom w:w="0" w:type="dxa"/>
                      <w:right w:w="10" w:type="dxa"/>
                    </w:tblCellMar>
                  </w:tblPr>
                  <w:tblGrid>
                    <w:gridCol w:w="3600"/>
                  </w:tblGrid>
                  <w:tr>
                    <w:tblPrEx>
                      <w:tblLayout w:type="fixed"/>
                      <w:tblCellMar>
                        <w:top w:w="0" w:type="dxa"/>
                        <w:left w:w="10" w:type="dxa"/>
                        <w:bottom w:w="0" w:type="dxa"/>
                        <w:right w:w="10" w:type="dxa"/>
                      </w:tblCellMar>
                    </w:tblPrEx>
                    <w:trPr>
                      <w:trHeight w:val="560" w:hRule="atLeast"/>
                    </w:trPr>
                    <w:tc>
                      <w:tcPr>
                        <w:tcW w:w="36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9K212262</w:t>
                        </w:r>
                      </w:p>
                    </w:tc>
                  </w:tr>
                </w:tbl>
                <w:p>
                  <w:pPr>
                    <w:pStyle w:val="4"/>
                  </w:pPr>
                </w:p>
              </w:tc>
              <w:tc>
                <w:tcPr>
                  <w:tcW w:w="4100" w:type="dxa"/>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3"/>
                    <w:tblW w:w="4100" w:type="dxa"/>
                    <w:tblInd w:w="0" w:type="dxa"/>
                    <w:tblLayout w:type="fixed"/>
                    <w:tblCellMar>
                      <w:top w:w="0" w:type="dxa"/>
                      <w:left w:w="10" w:type="dxa"/>
                      <w:bottom w:w="0" w:type="dxa"/>
                      <w:right w:w="10" w:type="dxa"/>
                    </w:tblCellMar>
                  </w:tblPr>
                  <w:tblGrid>
                    <w:gridCol w:w="4100"/>
                  </w:tblGrid>
                  <w:tr>
                    <w:tblPrEx>
                      <w:tblLayout w:type="fixed"/>
                      <w:tblCellMar>
                        <w:top w:w="0" w:type="dxa"/>
                        <w:left w:w="10" w:type="dxa"/>
                        <w:bottom w:w="0" w:type="dxa"/>
                        <w:right w:w="10" w:type="dxa"/>
                      </w:tblCellMar>
                    </w:tblPrEx>
                    <w:trPr>
                      <w:trHeight w:val="560" w:hRule="atLeast"/>
                    </w:trPr>
                    <w:tc>
                      <w:tcPr>
                        <w:tcW w:w="41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262,559,539.47</w:t>
                        </w:r>
                      </w:p>
                    </w:tc>
                  </w:tr>
                </w:tbl>
                <w:p>
                  <w:pPr>
                    <w:pStyle w:val="4"/>
                  </w:pPr>
                </w:p>
              </w:tc>
            </w:tr>
            <w:tr>
              <w:tblPrEx>
                <w:tblLayout w:type="fixed"/>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560" w:hRule="atLeast"/>
                    </w:trPr>
                    <w:tc>
                      <w:tcPr>
                        <w:tcW w:w="3000" w:type="dxa"/>
                        <w:tcMar>
                          <w:top w:w="0" w:type="dxa"/>
                          <w:left w:w="0" w:type="dxa"/>
                          <w:bottom w:w="20" w:type="dxa"/>
                          <w:right w:w="0" w:type="dxa"/>
                        </w:tcMar>
                        <w:vAlign w:val="center"/>
                      </w:tcPr>
                      <w:p>
                        <w:pPr>
                          <w:ind w:firstLine="0"/>
                          <w:jc w:val="center"/>
                        </w:pPr>
                        <w:r>
                          <w:rPr>
                            <w:rFonts w:ascii="宋体" w:hAnsi="宋体" w:eastAsia="宋体" w:cs="宋体"/>
                            <w:color w:val="000000"/>
                            <w:sz w:val="21"/>
                          </w:rPr>
                          <w:t>金雪球灵动12号年年升</w:t>
                        </w: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600" w:type="dxa"/>
                    <w:tblInd w:w="0" w:type="dxa"/>
                    <w:tblLayout w:type="fixed"/>
                    <w:tblCellMar>
                      <w:top w:w="0" w:type="dxa"/>
                      <w:left w:w="10" w:type="dxa"/>
                      <w:bottom w:w="0" w:type="dxa"/>
                      <w:right w:w="10" w:type="dxa"/>
                    </w:tblCellMar>
                  </w:tblPr>
                  <w:tblGrid>
                    <w:gridCol w:w="3600"/>
                  </w:tblGrid>
                  <w:tr>
                    <w:tblPrEx>
                      <w:tblLayout w:type="fixed"/>
                      <w:tblCellMar>
                        <w:top w:w="0" w:type="dxa"/>
                        <w:left w:w="10" w:type="dxa"/>
                        <w:bottom w:w="0" w:type="dxa"/>
                        <w:right w:w="10" w:type="dxa"/>
                      </w:tblCellMar>
                    </w:tblPrEx>
                    <w:trPr>
                      <w:trHeight w:val="560" w:hRule="atLeast"/>
                    </w:trPr>
                    <w:tc>
                      <w:tcPr>
                        <w:tcW w:w="36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9K212362</w:t>
                        </w:r>
                      </w:p>
                    </w:tc>
                  </w:tr>
                </w:tbl>
                <w:p>
                  <w:pPr>
                    <w:pStyle w:val="4"/>
                  </w:pPr>
                </w:p>
              </w:tc>
              <w:tc>
                <w:tcPr>
                  <w:tcW w:w="4100" w:type="dxa"/>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3"/>
                    <w:tblW w:w="4100" w:type="dxa"/>
                    <w:tblInd w:w="0" w:type="dxa"/>
                    <w:tblLayout w:type="fixed"/>
                    <w:tblCellMar>
                      <w:top w:w="0" w:type="dxa"/>
                      <w:left w:w="10" w:type="dxa"/>
                      <w:bottom w:w="0" w:type="dxa"/>
                      <w:right w:w="10" w:type="dxa"/>
                    </w:tblCellMar>
                  </w:tblPr>
                  <w:tblGrid>
                    <w:gridCol w:w="4100"/>
                  </w:tblGrid>
                  <w:tr>
                    <w:tblPrEx>
                      <w:tblLayout w:type="fixed"/>
                      <w:tblCellMar>
                        <w:top w:w="0" w:type="dxa"/>
                        <w:left w:w="10" w:type="dxa"/>
                        <w:bottom w:w="0" w:type="dxa"/>
                        <w:right w:w="10" w:type="dxa"/>
                      </w:tblCellMar>
                    </w:tblPrEx>
                    <w:trPr>
                      <w:trHeight w:val="560" w:hRule="atLeast"/>
                    </w:trPr>
                    <w:tc>
                      <w:tcPr>
                        <w:tcW w:w="41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23,011,210.55</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2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3400" w:type="dxa"/>
            <w:gridSpan w:val="6"/>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3" w:name="JR_PAGE_ANCHOR_0_4"/>
            <w:bookmarkEnd w:id="3"/>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兴银理财灵动全天候12号净值型理财产品2021年年度报告</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240" w:hRule="atLeast"/>
        </w:trPr>
        <w:tc>
          <w:tcPr>
            <w:tcW w:w="1" w:type="dxa"/>
          </w:tcPr>
          <w:p>
            <w:pPr>
              <w:pStyle w:val="4"/>
            </w:pPr>
          </w:p>
        </w:tc>
        <w:tc>
          <w:tcPr>
            <w:tcW w:w="40" w:type="dxa"/>
            <w:gridSpan w:val="2"/>
          </w:tcPr>
          <w:p>
            <w:pPr>
              <w:pStyle w:val="4"/>
            </w:pPr>
          </w:p>
        </w:tc>
        <w:tc>
          <w:tcPr>
            <w:tcW w:w="10200" w:type="dxa"/>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产品9K212162自成立日以来，累计净值增长率为4.1260%，年化累计净值增长率为4.1833%。</w:t>
            </w:r>
            <w:r>
              <w:rPr>
                <w:rFonts w:ascii="宋体" w:hAnsi="宋体" w:eastAsia="宋体" w:cs="宋体"/>
                <w:color w:val="000000"/>
                <w:sz w:val="21"/>
              </w:rPr>
              <w:br w:type="textWrapping"/>
            </w:r>
            <w:r>
              <w:rPr>
                <w:rFonts w:ascii="宋体" w:hAnsi="宋体" w:eastAsia="宋体" w:cs="宋体"/>
                <w:color w:val="000000"/>
                <w:sz w:val="21"/>
              </w:rPr>
              <w:t>产品9K212262自成立日以来，累计净值增长率为4.2170%，年化累计净值增长率为4.2756%。</w:t>
            </w:r>
            <w:r>
              <w:rPr>
                <w:rFonts w:ascii="宋体" w:hAnsi="宋体" w:eastAsia="宋体" w:cs="宋体"/>
                <w:color w:val="000000"/>
                <w:sz w:val="21"/>
              </w:rPr>
              <w:br w:type="textWrapping"/>
            </w:r>
            <w:r>
              <w:rPr>
                <w:rFonts w:ascii="宋体" w:hAnsi="宋体" w:eastAsia="宋体" w:cs="宋体"/>
                <w:color w:val="000000"/>
                <w:sz w:val="21"/>
              </w:rPr>
              <w:t>产品9K212362自成立日以来，累计净值增长率为4.1880%，年化累计净值增长率为4.2462%。</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200" w:hRule="exact"/>
        </w:trPr>
        <w:tc>
          <w:tcPr>
            <w:tcW w:w="1" w:type="dxa"/>
          </w:tcPr>
          <w:p>
            <w:pPr>
              <w:pStyle w:val="4"/>
            </w:pPr>
          </w:p>
        </w:tc>
        <w:tc>
          <w:tcPr>
            <w:tcW w:w="40" w:type="dxa"/>
            <w:gridSpan w:val="2"/>
          </w:tcPr>
          <w:p>
            <w:pPr>
              <w:pStyle w:val="4"/>
            </w:pPr>
          </w:p>
        </w:tc>
        <w:tc>
          <w:tcPr>
            <w:tcW w:w="10700" w:type="dxa"/>
            <w:gridSpan w:val="17"/>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800"/>
              <w:gridCol w:w="2000"/>
              <w:gridCol w:w="2400"/>
              <w:gridCol w:w="2200"/>
              <w:gridCol w:w="2300"/>
            </w:tblGrid>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9K212062</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2021年12月31日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1.04139</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1.04139</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2,089,646,745.82</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2400" w:hRule="exact"/>
        </w:trPr>
        <w:tc>
          <w:tcPr>
            <w:tcW w:w="1" w:type="dxa"/>
          </w:tcPr>
          <w:p>
            <w:pPr>
              <w:pStyle w:val="4"/>
            </w:pPr>
          </w:p>
        </w:tc>
        <w:tc>
          <w:tcPr>
            <w:tcW w:w="40" w:type="dxa"/>
            <w:gridSpan w:val="2"/>
          </w:tcPr>
          <w:p>
            <w:pPr>
              <w:pStyle w:val="4"/>
            </w:pPr>
          </w:p>
        </w:tc>
        <w:tc>
          <w:tcPr>
            <w:tcW w:w="10700" w:type="dxa"/>
            <w:gridSpan w:val="17"/>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800"/>
              <w:gridCol w:w="2000"/>
              <w:gridCol w:w="2400"/>
              <w:gridCol w:w="2200"/>
              <w:gridCol w:w="2300"/>
            </w:tblGrid>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9K212162</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2021年12月31日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1.04126</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1.04126</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1,792,040,491.92</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9K212262</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2021年12月31日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1.04217</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1.04217</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273,631,387.33</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9K212362</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2021年12月31日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1.04188</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1.04188</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23,974,866.57</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56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24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7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380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权益方面，短期权益市场缺乏主线，板块风格轮到加快，整体来看结构性行情预计延续，货币政策阶段性不会收紧，无系统性风险的情况下大幅下跌风险不大；策略方面，仓位维持中性偏低继续调结构，认为四季度金融周期可能会有阶段性机会，一方面是盈利另一方是资金切换低估板块，同时主线新能源、高端制造等热点成长板块顺势而为。</w:t>
            </w:r>
            <w:r>
              <w:rPr>
                <w:rFonts w:ascii="宋体" w:hAnsi="宋体" w:eastAsia="宋体" w:cs="宋体"/>
                <w:color w:val="000000"/>
                <w:sz w:val="21"/>
              </w:rPr>
              <w:br w:type="textWrapping"/>
            </w:r>
            <w:r>
              <w:rPr>
                <w:rFonts w:ascii="宋体" w:hAnsi="宋体" w:eastAsia="宋体" w:cs="宋体"/>
                <w:color w:val="000000"/>
                <w:sz w:val="21"/>
              </w:rPr>
              <w:t xml:space="preserve">    债券方面，中期战略上继续看多 ，短期不确定性较大，目前仓位和久期都不算低，所以可以耐心持仓。</w:t>
            </w:r>
            <w:r>
              <w:rPr>
                <w:rFonts w:ascii="宋体" w:hAnsi="宋体" w:eastAsia="宋体" w:cs="宋体"/>
                <w:color w:val="000000"/>
                <w:sz w:val="21"/>
              </w:rPr>
              <w:br w:type="textWrapping"/>
            </w:r>
            <w:r>
              <w:rPr>
                <w:rFonts w:ascii="宋体" w:hAnsi="宋体" w:eastAsia="宋体" w:cs="宋体"/>
                <w:color w:val="000000"/>
                <w:sz w:val="21"/>
              </w:rPr>
              <w:t xml:space="preserve">    四季度债券收益率受经济和通胀预期影响，先上后下，整体无论是驱动还是趋势继续维持向好，所以也不用过分谨慎，策略上短期维持中性偏高仓位顺势而为即可。</w:t>
            </w:r>
            <w:r>
              <w:rPr>
                <w:rFonts w:ascii="宋体" w:hAnsi="宋体" w:eastAsia="宋体" w:cs="宋体"/>
                <w:color w:val="000000"/>
                <w:sz w:val="21"/>
              </w:rPr>
              <w:br w:type="textWrapping"/>
            </w:r>
            <w:r>
              <w:rPr>
                <w:rFonts w:ascii="宋体" w:hAnsi="宋体" w:eastAsia="宋体" w:cs="宋体"/>
                <w:color w:val="000000"/>
                <w:sz w:val="21"/>
              </w:rPr>
              <w:t xml:space="preserve">    衍生品策略方面，后期积极开展相关策略交易。</w:t>
            </w:r>
            <w:r>
              <w:rPr>
                <w:rFonts w:ascii="宋体" w:hAnsi="宋体" w:eastAsia="宋体" w:cs="宋体"/>
                <w:color w:val="000000"/>
                <w:sz w:val="21"/>
              </w:rPr>
              <w:br w:type="textWrapping"/>
            </w:r>
            <w:r>
              <w:rPr>
                <w:rFonts w:ascii="宋体" w:hAnsi="宋体" w:eastAsia="宋体" w:cs="宋体"/>
                <w:color w:val="000000"/>
                <w:sz w:val="21"/>
              </w:rPr>
              <w:t xml:space="preserve">    一方面如我们策略所预计，市场可能会有下行风险，例如利用股指期货对冲权益类下行风险，利用商品空头对冲经济复苏不及预期或者货币政策收紧的风险；同时，衍生品策略也上线了不同类型的增强策略，跟我们整体产品配置策略低相关性，进可攻退可守。</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0" w:hRule="atLeast"/>
        </w:trPr>
        <w:tc>
          <w:tcPr>
            <w:tcW w:w="1" w:type="dxa"/>
          </w:tcPr>
          <w:p>
            <w:pPr>
              <w:pStyle w:val="4"/>
              <w:pageBreakBefore/>
            </w:pPr>
            <w:bookmarkStart w:id="4" w:name="JR_PAGE_ANCHOR_0_5"/>
            <w:bookmarkEnd w:id="4"/>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兴银理财灵动全天候12号净值型理财产品2021年年度报告</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58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br w:type="textWrapping"/>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58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六. 理财托管机构报告</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8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3000" w:hRule="atLeast"/>
        </w:trPr>
        <w:tc>
          <w:tcPr>
            <w:tcW w:w="1" w:type="dxa"/>
          </w:tcPr>
          <w:p>
            <w:pPr>
              <w:pStyle w:val="4"/>
            </w:pPr>
          </w:p>
        </w:tc>
        <w:tc>
          <w:tcPr>
            <w:tcW w:w="20" w:type="dxa"/>
          </w:tcPr>
          <w:p>
            <w:pPr>
              <w:pStyle w:val="4"/>
            </w:pPr>
          </w:p>
        </w:tc>
        <w:tc>
          <w:tcPr>
            <w:tcW w:w="10700" w:type="dxa"/>
            <w:gridSpan w:val="16"/>
            <w:tcMar>
              <w:top w:w="0" w:type="dxa"/>
              <w:left w:w="0" w:type="dxa"/>
              <w:bottom w:w="0" w:type="dxa"/>
              <w:right w:w="0" w:type="dxa"/>
            </w:tcMar>
            <w:vAlign w:val="top"/>
          </w:tcPr>
          <w:p>
            <w:pPr>
              <w:spacing w:before="0" w:after="0" w:line="320" w:lineRule="exact"/>
              <w:jc w:val="left"/>
            </w:pPr>
            <w:r>
              <w:rPr>
                <w:rFonts w:ascii="宋体" w:hAnsi="宋体" w:eastAsia="宋体" w:cs="宋体"/>
                <w:color w:val="000000"/>
                <w:sz w:val="21"/>
              </w:rPr>
              <w:br w:type="textWrapping"/>
            </w:r>
            <w:r>
              <w:rPr>
                <w:rFonts w:ascii="宋体" w:hAnsi="宋体" w:eastAsia="宋体" w:cs="宋体"/>
                <w:color w:val="000000"/>
                <w:sz w:val="21"/>
              </w:rPr>
              <w:t xml:space="preserve">    报告期内，托管人严格遵守《商业银行理财业务监督管理办法》及相关法律法规规定、理财产品托管协议约定，诚实信用、谨慎勤勉地履行了托管人义务，不存在损害理财产品投资者利益的行为。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托管人认真复核了本报告中的净值表现、投资组合报告等内容，认为其真实、准确和完整，不存在虚假记载、误导性陈述或者重大遗漏。</w:t>
            </w:r>
            <w:r>
              <w:rPr>
                <w:rFonts w:ascii="宋体" w:hAnsi="宋体" w:eastAsia="宋体" w:cs="宋体"/>
                <w:color w:val="000000"/>
                <w:sz w:val="21"/>
              </w:rPr>
              <w:br w:type="textWrapping"/>
            </w: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七. 审计报告</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8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1480" w:hRule="atLeast"/>
        </w:trPr>
        <w:tc>
          <w:tcPr>
            <w:tcW w:w="1" w:type="dxa"/>
          </w:tcPr>
          <w:p>
            <w:pPr>
              <w:pStyle w:val="4"/>
            </w:pPr>
          </w:p>
        </w:tc>
        <w:tc>
          <w:tcPr>
            <w:tcW w:w="10700" w:type="dxa"/>
            <w:gridSpan w:val="15"/>
            <w:tcMar>
              <w:top w:w="0" w:type="dxa"/>
              <w:left w:w="0" w:type="dxa"/>
              <w:bottom w:w="0" w:type="dxa"/>
              <w:right w:w="0" w:type="dxa"/>
            </w:tcMar>
            <w:vAlign w:val="center"/>
          </w:tcPr>
          <w:p>
            <w:pPr>
              <w:spacing w:before="0" w:after="0" w:line="320" w:lineRule="exact"/>
              <w:jc w:val="left"/>
            </w:pPr>
            <w:r>
              <w:rPr>
                <w:rFonts w:ascii="宋体" w:hAnsi="宋体" w:eastAsia="宋体" w:cs="宋体"/>
                <w:color w:val="000000"/>
                <w:sz w:val="21"/>
              </w:rPr>
              <w:br w:type="textWrapping"/>
            </w:r>
            <w:r>
              <w:rPr>
                <w:rFonts w:ascii="宋体" w:hAnsi="宋体" w:eastAsia="宋体" w:cs="宋体"/>
                <w:color w:val="000000"/>
                <w:sz w:val="21"/>
              </w:rP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八. 投资组合情况</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0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0" w:hRule="atLeast"/>
        </w:trPr>
        <w:tc>
          <w:tcPr>
            <w:tcW w:w="1" w:type="dxa"/>
          </w:tcPr>
          <w:p>
            <w:pPr>
              <w:pStyle w:val="4"/>
            </w:pPr>
          </w:p>
        </w:tc>
        <w:tc>
          <w:tcPr>
            <w:tcW w:w="20" w:type="dxa"/>
          </w:tcPr>
          <w:p>
            <w:pPr>
              <w:pStyle w:val="4"/>
            </w:pPr>
          </w:p>
        </w:tc>
        <w:tc>
          <w:tcPr>
            <w:tcW w:w="10700" w:type="dxa"/>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60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0" w:hRule="atLeas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5" w:name="JR_PAGE_ANCHOR_0_6"/>
            <w:bookmarkEnd w:id="5"/>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兴银理财灵动全天候12号净值型理财产品2021年年度报告</w:t>
            </w:r>
          </w:p>
        </w:tc>
        <w:tc>
          <w:tcPr>
            <w:tcW w:w="20" w:type="dxa"/>
            <w:gridSpan w:val="2"/>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20" w:type="dxa"/>
            <w:gridSpan w:val="2"/>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0" w:hRule="exact"/>
        </w:trPr>
        <w:tc>
          <w:tcPr>
            <w:tcW w:w="1" w:type="dxa"/>
          </w:tcPr>
          <w:p>
            <w:pPr>
              <w:pStyle w:val="4"/>
            </w:pPr>
          </w:p>
        </w:tc>
        <w:tc>
          <w:tcPr>
            <w:tcW w:w="20" w:type="dxa"/>
          </w:tcPr>
          <w:p>
            <w:pPr>
              <w:pStyle w:val="4"/>
            </w:pPr>
          </w:p>
        </w:tc>
        <w:tc>
          <w:tcPr>
            <w:tcW w:w="10700" w:type="dxa"/>
            <w:gridSpan w:val="16"/>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2600"/>
              <w:gridCol w:w="4000"/>
              <w:gridCol w:w="3100"/>
            </w:tblGrid>
            <w:tr>
              <w:tblPrEx>
                <w:tblLayout w:type="fixed"/>
                <w:tblCellMar>
                  <w:top w:w="0" w:type="dxa"/>
                  <w:left w:w="10" w:type="dxa"/>
                  <w:bottom w:w="0" w:type="dxa"/>
                  <w:right w:w="10" w:type="dxa"/>
                </w:tblCellMar>
              </w:tblPrEx>
              <w:trPr>
                <w:trHeight w:val="60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2.08</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4.83</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15.36</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15.37</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35.29</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44.21</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2.95</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4.70</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12.21</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12.21</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18.19</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18.19</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衍生品</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0.49</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13.92</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tcW w:w="20" w:type="dxa"/>
            <w:gridSpan w:val="2"/>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00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tcW w:w="20" w:type="dxa"/>
            <w:gridSpan w:val="2"/>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tcW w:w="20" w:type="dxa"/>
            <w:gridSpan w:val="2"/>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58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tcW w:w="20" w:type="dxa"/>
            <w:gridSpan w:val="2"/>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54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20" w:type="dxa"/>
          </w:tcPr>
          <w:p>
            <w:pPr>
              <w:pStyle w:val="4"/>
            </w:pPr>
          </w:p>
        </w:tc>
        <w:tc>
          <w:tcPr>
            <w:tcW w:w="20" w:type="dxa"/>
          </w:tcPr>
          <w:p>
            <w:pPr>
              <w:pStyle w:val="4"/>
            </w:pPr>
          </w:p>
        </w:tc>
        <w:tc>
          <w:tcPr>
            <w:tcW w:w="10700" w:type="dxa"/>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tcW w:w="1" w:type="dxa"/>
          </w:tcPr>
          <w:p>
            <w:pPr>
              <w:pStyle w:val="4"/>
            </w:pPr>
          </w:p>
        </w:tc>
      </w:tr>
      <w:tr>
        <w:tblPrEx>
          <w:tblLayout w:type="fixed"/>
          <w:tblCellMar>
            <w:top w:w="0" w:type="dxa"/>
            <w:left w:w="10" w:type="dxa"/>
            <w:bottom w:w="0" w:type="dxa"/>
            <w:right w:w="10" w:type="dxa"/>
          </w:tblCellMar>
        </w:tblPrEx>
        <w:trPr>
          <w:trHeight w:val="2440" w:hRule="exact"/>
        </w:trPr>
        <w:tc>
          <w:tcPr>
            <w:tcW w:w="1" w:type="dxa"/>
          </w:tcPr>
          <w:p>
            <w:pPr>
              <w:pStyle w:val="4"/>
            </w:pPr>
          </w:p>
        </w:tc>
        <w:tc>
          <w:tcPr>
            <w:tcW w:w="20" w:type="dxa"/>
          </w:tcPr>
          <w:p>
            <w:pPr>
              <w:pStyle w:val="4"/>
            </w:pPr>
          </w:p>
        </w:tc>
        <w:tc>
          <w:tcPr>
            <w:tcW w:w="20" w:type="dxa"/>
          </w:tcPr>
          <w:p>
            <w:pPr>
              <w:pStyle w:val="4"/>
            </w:pPr>
          </w:p>
        </w:tc>
        <w:tc>
          <w:tcPr>
            <w:tcW w:w="10700" w:type="dxa"/>
            <w:gridSpan w:val="17"/>
            <w:tcBorders>
              <w:bottom w:val="single" w:color="000000" w:sz="4" w:space="0"/>
            </w:tcBorders>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4000"/>
              <w:gridCol w:w="2600"/>
              <w:gridCol w:w="3100"/>
            </w:tblGrid>
            <w:tr>
              <w:tblPrEx>
                <w:tblLayout w:type="fixed"/>
                <w:tblCellMar>
                  <w:top w:w="0" w:type="dxa"/>
                  <w:left w:w="10" w:type="dxa"/>
                  <w:bottom w:w="0" w:type="dxa"/>
                  <w:right w:w="10" w:type="dxa"/>
                </w:tblCellMar>
              </w:tblPrEx>
              <w:trPr>
                <w:trHeight w:val="64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4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40" w:hRule="atLeast"/>
                    </w:trPr>
                    <w:tc>
                      <w:tcPr>
                        <w:tcW w:w="4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40" w:hRule="atLeast"/>
                    </w:trPr>
                    <w:tc>
                      <w:tcPr>
                        <w:tcW w:w="2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W w:w="31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40" w:hRule="atLeast"/>
                    </w:trPr>
                    <w:tc>
                      <w:tcPr>
                        <w:tcW w:w="31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云南省投资控股集团有限公司股票收益权转让及回购业务（兴隆1号）</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350,000,000.00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16.75</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300,000,650.00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14.36</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睿远基金汇见1号集合资产管理计划</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155,527,137.16</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7.44</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38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tcW w:w="3300" w:type="dxa"/>
            <w:gridSpan w:val="4"/>
          </w:tcPr>
          <w:p>
            <w:pPr>
              <w:pStyle w:val="4"/>
            </w:pPr>
          </w:p>
        </w:tc>
        <w:tc>
          <w:tcPr>
            <w:tcW w:w="20" w:type="dxa"/>
            <w:gridSpan w:val="2"/>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6" w:name="JR_PAGE_ANCHOR_0_7"/>
            <w:bookmarkEnd w:id="6"/>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兴银理财灵动全天候12号净值型理财产品2021年年度报告</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200" w:hRule="exact"/>
        </w:trPr>
        <w:tc>
          <w:tcPr>
            <w:tcW w:w="1" w:type="dxa"/>
          </w:tcPr>
          <w:p>
            <w:pPr>
              <w:pStyle w:val="4"/>
            </w:pPr>
          </w:p>
        </w:tc>
        <w:tc>
          <w:tcPr>
            <w:tcW w:w="40" w:type="dxa"/>
            <w:gridSpan w:val="2"/>
          </w:tcPr>
          <w:p>
            <w:pPr>
              <w:pStyle w:val="4"/>
            </w:pPr>
          </w:p>
        </w:tc>
        <w:tc>
          <w:tcPr>
            <w:tcW w:w="10700" w:type="dxa"/>
            <w:gridSpan w:val="17"/>
            <w:tcBorders>
              <w:bottom w:val="single" w:color="000000" w:sz="4" w:space="0"/>
            </w:tcBorders>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4000"/>
              <w:gridCol w:w="2600"/>
              <w:gridCol w:w="3100"/>
            </w:tblGrid>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21贴债59</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118,650,120.00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5.68</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易方达兴荣1号集合资产管理计划</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114,544,144.50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5.48</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20化学Y1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100,960,100.00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4.83</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21鲁潍坊城建ZR001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4.79</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80,000,320.00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3.83</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安信稳健增值A ( 001316.OF )</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61,524,506.25</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2.94</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20首钢04</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50,803,550.00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2.43</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3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8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800"/>
              <w:gridCol w:w="3000"/>
              <w:gridCol w:w="2800"/>
              <w:gridCol w:w="3100"/>
            </w:tblGrid>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9K212062</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21伊犁财通MTN001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9K212062</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21广西旅发SCP001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600"/>
              <w:gridCol w:w="2200"/>
              <w:gridCol w:w="2200"/>
              <w:gridCol w:w="1800"/>
              <w:gridCol w:w="2900"/>
            </w:tblGrid>
            <w:tr>
              <w:tblPrEx>
                <w:tblLayout w:type="fixed"/>
                <w:tblCellMar>
                  <w:top w:w="0" w:type="dxa"/>
                  <w:left w:w="10" w:type="dxa"/>
                  <w:bottom w:w="0" w:type="dxa"/>
                  <w:right w:w="10" w:type="dxa"/>
                </w:tblCellMar>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600" w:type="dxa"/>
                    <w:tblInd w:w="0" w:type="dxa"/>
                    <w:tblLayout w:type="fixed"/>
                    <w:tblCellMar>
                      <w:top w:w="0" w:type="dxa"/>
                      <w:left w:w="10" w:type="dxa"/>
                      <w:bottom w:w="0" w:type="dxa"/>
                      <w:right w:w="10" w:type="dxa"/>
                    </w:tblCellMar>
                  </w:tblPr>
                  <w:tblGrid>
                    <w:gridCol w:w="1580"/>
                    <w:gridCol w:w="20"/>
                  </w:tblGrid>
                  <w:tr>
                    <w:tblPrEx>
                      <w:tblLayout w:type="fixed"/>
                      <w:tblCellMar>
                        <w:top w:w="0" w:type="dxa"/>
                        <w:left w:w="10" w:type="dxa"/>
                        <w:bottom w:w="0" w:type="dxa"/>
                        <w:right w:w="10" w:type="dxa"/>
                      </w:tblCellMar>
                    </w:tblPrEx>
                    <w:trPr>
                      <w:trHeight w:val="600" w:hRule="atLeast"/>
                    </w:trPr>
                    <w:tc>
                      <w:tcPr>
                        <w:tcW w:w="15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800"/>
                  </w:tblGrid>
                  <w:tr>
                    <w:tblPrEx>
                      <w:tblLayout w:type="fixed"/>
                      <w:tblCellMar>
                        <w:top w:w="0" w:type="dxa"/>
                        <w:left w:w="10" w:type="dxa"/>
                        <w:bottom w:w="0" w:type="dxa"/>
                        <w:right w:w="10" w:type="dxa"/>
                      </w:tblCellMar>
                    </w:tblPrEx>
                    <w:trPr>
                      <w:trHeight w:val="600" w:hRule="atLeast"/>
                    </w:trPr>
                    <w:tc>
                      <w:tcPr>
                        <w:tcW w:w="1800" w:type="dxa"/>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W w:w="29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900" w:type="dxa"/>
                    <w:tblInd w:w="0" w:type="dxa"/>
                    <w:tblLayout w:type="fixed"/>
                    <w:tblCellMar>
                      <w:top w:w="0" w:type="dxa"/>
                      <w:left w:w="10" w:type="dxa"/>
                      <w:bottom w:w="0" w:type="dxa"/>
                      <w:right w:w="10" w:type="dxa"/>
                    </w:tblCellMar>
                  </w:tblPr>
                  <w:tblGrid>
                    <w:gridCol w:w="2900"/>
                  </w:tblGrid>
                  <w:tr>
                    <w:tblPrEx>
                      <w:tblLayout w:type="fixed"/>
                      <w:tblCellMar>
                        <w:top w:w="0" w:type="dxa"/>
                        <w:left w:w="10" w:type="dxa"/>
                        <w:bottom w:w="0" w:type="dxa"/>
                        <w:right w:w="10" w:type="dxa"/>
                      </w:tblCellMar>
                    </w:tblPrEx>
                    <w:trPr>
                      <w:trHeight w:val="600" w:hRule="atLeast"/>
                    </w:trPr>
                    <w:tc>
                      <w:tcPr>
                        <w:tcW w:w="2900" w:type="dxa"/>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700"/>
            </w:tblGrid>
            <w:tr>
              <w:tblPrEx>
                <w:tblLayout w:type="fixed"/>
                <w:tblCellMar>
                  <w:top w:w="0" w:type="dxa"/>
                  <w:left w:w="10" w:type="dxa"/>
                  <w:bottom w:w="0" w:type="dxa"/>
                  <w:right w:w="10" w:type="dxa"/>
                </w:tblCellMar>
              </w:tblPrEx>
              <w:trPr>
                <w:trHeight w:val="600" w:hRule="exact"/>
              </w:trPr>
              <w:tc>
                <w:tcPr>
                  <w:tcW w:w="10700" w:type="dxa"/>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680"/>
                    <w:gridCol w:w="20"/>
                  </w:tblGrid>
                  <w:tr>
                    <w:tblPrEx>
                      <w:tblLayout w:type="fixed"/>
                      <w:tblCellMar>
                        <w:top w:w="0" w:type="dxa"/>
                        <w:left w:w="10" w:type="dxa"/>
                        <w:bottom w:w="0" w:type="dxa"/>
                        <w:right w:w="10" w:type="dxa"/>
                      </w:tblCellMar>
                    </w:tblPrEx>
                    <w:trPr>
                      <w:trHeight w:val="600" w:hRule="atLeast"/>
                    </w:trPr>
                    <w:tc>
                      <w:tcPr>
                        <w:tcW w:w="10680" w:type="dxa"/>
                        <w:tcMar>
                          <w:top w:w="0" w:type="dxa"/>
                          <w:left w:w="0" w:type="dxa"/>
                          <w:bottom w:w="0" w:type="dxa"/>
                          <w:right w:w="0" w:type="dxa"/>
                        </w:tcMar>
                        <w:vAlign w:val="center"/>
                      </w:tcPr>
                      <w:p>
                        <w:pPr>
                          <w:jc w:val="center"/>
                        </w:pPr>
                        <w:r>
                          <w:rPr>
                            <w:rFonts w:ascii="宋体" w:hAnsi="宋体" w:eastAsia="宋体" w:cs="宋体"/>
                            <w:color w:val="000000"/>
                            <w:sz w:val="21"/>
                          </w:rPr>
                          <w:t>无</w:t>
                        </w:r>
                      </w:p>
                    </w:tc>
                    <w:tc>
                      <w:tcPr>
                        <w:tcW w:w="20" w:type="dxa"/>
                      </w:tcPr>
                      <w:p>
                        <w:pPr>
                          <w:pStyle w:val="4"/>
                        </w:pP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600"/>
              <w:gridCol w:w="2200"/>
              <w:gridCol w:w="2200"/>
              <w:gridCol w:w="1800"/>
              <w:gridCol w:w="2900"/>
            </w:tblGrid>
            <w:tr>
              <w:tblPrEx>
                <w:tblLayout w:type="fixed"/>
                <w:tblCellMar>
                  <w:top w:w="0" w:type="dxa"/>
                  <w:left w:w="10" w:type="dxa"/>
                  <w:bottom w:w="0" w:type="dxa"/>
                  <w:right w:w="10" w:type="dxa"/>
                </w:tblCellMar>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600" w:type="dxa"/>
                    <w:tblInd w:w="0" w:type="dxa"/>
                    <w:tblLayout w:type="fixed"/>
                    <w:tblCellMar>
                      <w:top w:w="0" w:type="dxa"/>
                      <w:left w:w="10" w:type="dxa"/>
                      <w:bottom w:w="0" w:type="dxa"/>
                      <w:right w:w="10" w:type="dxa"/>
                    </w:tblCellMar>
                  </w:tblPr>
                  <w:tblGrid>
                    <w:gridCol w:w="1580"/>
                    <w:gridCol w:w="20"/>
                  </w:tblGrid>
                  <w:tr>
                    <w:tblPrEx>
                      <w:tblLayout w:type="fixed"/>
                      <w:tblCellMar>
                        <w:top w:w="0" w:type="dxa"/>
                        <w:left w:w="10" w:type="dxa"/>
                        <w:bottom w:w="0" w:type="dxa"/>
                        <w:right w:w="10" w:type="dxa"/>
                      </w:tblCellMar>
                    </w:tblPrEx>
                    <w:trPr>
                      <w:trHeight w:val="600" w:hRule="atLeast"/>
                    </w:trPr>
                    <w:tc>
                      <w:tcPr>
                        <w:tcW w:w="15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800"/>
                  </w:tblGrid>
                  <w:tr>
                    <w:tblPrEx>
                      <w:tblLayout w:type="fixed"/>
                      <w:tblCellMar>
                        <w:top w:w="0" w:type="dxa"/>
                        <w:left w:w="10" w:type="dxa"/>
                        <w:bottom w:w="0" w:type="dxa"/>
                        <w:right w:w="10" w:type="dxa"/>
                      </w:tblCellMar>
                    </w:tblPrEx>
                    <w:trPr>
                      <w:trHeight w:val="600" w:hRule="atLeast"/>
                    </w:trPr>
                    <w:tc>
                      <w:tcPr>
                        <w:tcW w:w="1800" w:type="dxa"/>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W w:w="29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900" w:type="dxa"/>
                    <w:tblInd w:w="0" w:type="dxa"/>
                    <w:tblLayout w:type="fixed"/>
                    <w:tblCellMar>
                      <w:top w:w="0" w:type="dxa"/>
                      <w:left w:w="10" w:type="dxa"/>
                      <w:bottom w:w="0" w:type="dxa"/>
                      <w:right w:w="10" w:type="dxa"/>
                    </w:tblCellMar>
                  </w:tblPr>
                  <w:tblGrid>
                    <w:gridCol w:w="2900"/>
                  </w:tblGrid>
                  <w:tr>
                    <w:tblPrEx>
                      <w:tblLayout w:type="fixed"/>
                      <w:tblCellMar>
                        <w:top w:w="0" w:type="dxa"/>
                        <w:left w:w="10" w:type="dxa"/>
                        <w:bottom w:w="0" w:type="dxa"/>
                        <w:right w:w="10" w:type="dxa"/>
                      </w:tblCellMar>
                    </w:tblPrEx>
                    <w:trPr>
                      <w:trHeight w:val="600" w:hRule="atLeast"/>
                    </w:trPr>
                    <w:tc>
                      <w:tcPr>
                        <w:tcW w:w="2900" w:type="dxa"/>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700"/>
            </w:tblGrid>
            <w:tr>
              <w:tblPrEx>
                <w:tblLayout w:type="fixed"/>
                <w:tblCellMar>
                  <w:top w:w="0" w:type="dxa"/>
                  <w:left w:w="10" w:type="dxa"/>
                  <w:bottom w:w="0" w:type="dxa"/>
                  <w:right w:w="10" w:type="dxa"/>
                </w:tblCellMar>
              </w:tblPrEx>
              <w:trPr>
                <w:trHeight w:val="600" w:hRule="exact"/>
              </w:trPr>
              <w:tc>
                <w:tcPr>
                  <w:tcW w:w="10700" w:type="dxa"/>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680"/>
                    <w:gridCol w:w="20"/>
                  </w:tblGrid>
                  <w:tr>
                    <w:tblPrEx>
                      <w:tblLayout w:type="fixed"/>
                      <w:tblCellMar>
                        <w:top w:w="0" w:type="dxa"/>
                        <w:left w:w="10" w:type="dxa"/>
                        <w:bottom w:w="0" w:type="dxa"/>
                        <w:right w:w="10" w:type="dxa"/>
                      </w:tblCellMar>
                    </w:tblPrEx>
                    <w:trPr>
                      <w:trHeight w:val="600" w:hRule="atLeast"/>
                    </w:trPr>
                    <w:tc>
                      <w:tcPr>
                        <w:tcW w:w="10680" w:type="dxa"/>
                        <w:tcMar>
                          <w:top w:w="0" w:type="dxa"/>
                          <w:left w:w="0" w:type="dxa"/>
                          <w:bottom w:w="0" w:type="dxa"/>
                          <w:right w:w="0" w:type="dxa"/>
                        </w:tcMar>
                        <w:vAlign w:val="center"/>
                      </w:tcPr>
                      <w:p>
                        <w:pPr>
                          <w:jc w:val="center"/>
                        </w:pPr>
                        <w:r>
                          <w:rPr>
                            <w:rFonts w:ascii="宋体" w:hAnsi="宋体" w:eastAsia="宋体" w:cs="宋体"/>
                            <w:color w:val="000000"/>
                            <w:sz w:val="21"/>
                          </w:rPr>
                          <w:t>无</w:t>
                        </w:r>
                      </w:p>
                    </w:tc>
                    <w:tc>
                      <w:tcPr>
                        <w:tcW w:w="20" w:type="dxa"/>
                      </w:tcPr>
                      <w:p>
                        <w:pPr>
                          <w:pStyle w:val="4"/>
                        </w:pP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6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0700" w:type="dxa"/>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tcPr>
            <w:tcW w:w="1" w:type="dxa"/>
          </w:tcPr>
          <w:p>
            <w:pPr>
              <w:pStyle w:val="4"/>
            </w:pPr>
          </w:p>
        </w:tc>
      </w:tr>
      <w:tr>
        <w:tblPrEx>
          <w:tblLayout w:type="fixed"/>
          <w:tblCellMar>
            <w:top w:w="0" w:type="dxa"/>
            <w:left w:w="10" w:type="dxa"/>
            <w:bottom w:w="0" w:type="dxa"/>
            <w:right w:w="10" w:type="dxa"/>
          </w:tblCellMar>
        </w:tblPrEx>
        <w:trPr>
          <w:trHeight w:val="1200" w:hRule="exact"/>
        </w:trPr>
        <w:tc>
          <w:tcPr>
            <w:tcW w:w="1" w:type="dxa"/>
          </w:tcPr>
          <w:p>
            <w:pPr>
              <w:pStyle w:val="4"/>
            </w:pPr>
          </w:p>
        </w:tc>
        <w:tc>
          <w:tcPr>
            <w:tcW w:w="40" w:type="dxa"/>
            <w:gridSpan w:val="2"/>
          </w:tcPr>
          <w:p>
            <w:pPr>
              <w:pStyle w:val="4"/>
            </w:pPr>
          </w:p>
        </w:tc>
        <w:tc>
          <w:tcPr>
            <w:tcW w:w="10700" w:type="dxa"/>
            <w:gridSpan w:val="17"/>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2200"/>
              <w:gridCol w:w="3000"/>
              <w:gridCol w:w="4500"/>
            </w:tblGrid>
            <w:tr>
              <w:tblPrEx>
                <w:tblLayout w:type="fixed"/>
                <w:tblCellMar>
                  <w:top w:w="0" w:type="dxa"/>
                  <w:left w:w="10" w:type="dxa"/>
                  <w:bottom w:w="0" w:type="dxa"/>
                  <w:right w:w="10" w:type="dxa"/>
                </w:tblCellMar>
              </w:tblPrEx>
              <w:trPr>
                <w:trHeight w:val="60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22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W w:w="30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W w:w="4500" w:type="dxa"/>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3"/>
                    <w:tblW w:w="4500" w:type="dxa"/>
                    <w:tblInd w:w="0" w:type="dxa"/>
                    <w:tblLayout w:type="fixed"/>
                    <w:tblCellMar>
                      <w:top w:w="0" w:type="dxa"/>
                      <w:left w:w="10" w:type="dxa"/>
                      <w:bottom w:w="0" w:type="dxa"/>
                      <w:right w:w="10" w:type="dxa"/>
                    </w:tblCellMar>
                  </w:tblPr>
                  <w:tblGrid>
                    <w:gridCol w:w="4500"/>
                  </w:tblGrid>
                  <w:tr>
                    <w:tblPrEx>
                      <w:tblLayout w:type="fixed"/>
                      <w:tblCellMar>
                        <w:top w:w="0" w:type="dxa"/>
                        <w:left w:w="10" w:type="dxa"/>
                        <w:bottom w:w="0" w:type="dxa"/>
                        <w:right w:w="10" w:type="dxa"/>
                      </w:tblCellMar>
                    </w:tblPrEx>
                    <w:trPr>
                      <w:trHeight w:val="600" w:hRule="atLeast"/>
                    </w:trPr>
                    <w:tc>
                      <w:tcPr>
                        <w:tcW w:w="45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051010100101137416</w:t>
                        </w:r>
                      </w:p>
                    </w:tc>
                  </w:tr>
                </w:tbl>
                <w:p>
                  <w:pPr>
                    <w:pStyle w:val="4"/>
                  </w:pPr>
                </w:p>
              </w:tc>
              <w:tc>
                <w:tcPr>
                  <w:tcW w:w="4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4500" w:type="dxa"/>
                    <w:tblInd w:w="0" w:type="dxa"/>
                    <w:tblLayout w:type="fixed"/>
                    <w:tblCellMar>
                      <w:top w:w="0" w:type="dxa"/>
                      <w:left w:w="10" w:type="dxa"/>
                      <w:bottom w:w="0" w:type="dxa"/>
                      <w:right w:w="10" w:type="dxa"/>
                    </w:tblCellMar>
                  </w:tblPr>
                  <w:tblGrid>
                    <w:gridCol w:w="4500"/>
                  </w:tblGrid>
                  <w:tr>
                    <w:tblPrEx>
                      <w:tblLayout w:type="fixed"/>
                      <w:tblCellMar>
                        <w:top w:w="0" w:type="dxa"/>
                        <w:left w:w="10" w:type="dxa"/>
                        <w:bottom w:w="0" w:type="dxa"/>
                        <w:right w:w="10" w:type="dxa"/>
                      </w:tblCellMar>
                    </w:tblPrEx>
                    <w:trPr>
                      <w:trHeight w:val="600" w:hRule="atLeast"/>
                    </w:trPr>
                    <w:tc>
                      <w:tcPr>
                        <w:tcW w:w="4500" w:type="dxa"/>
                        <w:tcMar>
                          <w:top w:w="0" w:type="dxa"/>
                          <w:left w:w="0" w:type="dxa"/>
                          <w:bottom w:w="0" w:type="dxa"/>
                          <w:right w:w="0" w:type="dxa"/>
                        </w:tcMar>
                        <w:vAlign w:val="center"/>
                      </w:tcPr>
                      <w:p>
                        <w:pPr>
                          <w:jc w:val="center"/>
                        </w:pPr>
                        <w:r>
                          <w:rPr>
                            <w:rFonts w:ascii="宋体" w:hAnsi="宋体" w:eastAsia="宋体" w:cs="宋体"/>
                            <w:color w:val="000000"/>
                            <w:sz w:val="21"/>
                          </w:rPr>
                          <w:t>兴银理财灵动全天候12号净值型理财产品</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214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0" w:hRule="atLeast"/>
        </w:trPr>
        <w:tc>
          <w:tcPr>
            <w:tcW w:w="1" w:type="dxa"/>
          </w:tcPr>
          <w:p>
            <w:pPr>
              <w:pStyle w:val="4"/>
              <w:pageBreakBefore/>
            </w:pPr>
            <w:bookmarkStart w:id="7" w:name="JR_PAGE_ANCHOR_0_8"/>
            <w:bookmarkEnd w:id="7"/>
          </w:p>
        </w:tc>
        <w:tc>
          <w:tcPr>
            <w:tcW w:w="3400" w:type="dxa"/>
            <w:gridSpan w:val="6"/>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兴银理财灵动全天候12号净值型理财产品2021年年度报告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3400" w:type="dxa"/>
            <w:gridSpan w:val="6"/>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exact"/>
        </w:trPr>
        <w:tc>
          <w:tcPr>
            <w:tcW w:w="1" w:type="dxa"/>
          </w:tcPr>
          <w:p>
            <w:pPr>
              <w:pStyle w:val="4"/>
            </w:pPr>
          </w:p>
        </w:tc>
        <w:tc>
          <w:tcPr>
            <w:tcW w:w="3400" w:type="dxa"/>
            <w:gridSpan w:val="6"/>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top"/>
          </w:tcPr>
          <w:p>
            <w:pPr>
              <w:jc w:val="right"/>
            </w:pPr>
            <w:r>
              <w:rPr>
                <w:rFonts w:ascii="宋体" w:hAnsi="宋体" w:eastAsia="宋体" w:cs="宋体"/>
                <w:color w:val="000000"/>
                <w:sz w:val="21"/>
              </w:rPr>
              <w:t>2022年5月11日</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13600" w:hRule="exact"/>
        </w:trPr>
        <w:tc>
          <w:tcPr>
            <w:tcW w:w="1" w:type="dxa"/>
          </w:tcPr>
          <w:p>
            <w:pPr>
              <w:pStyle w:val="4"/>
            </w:pPr>
          </w:p>
        </w:tc>
        <w:tc>
          <w:tcPr>
            <w:tcW w:w="3400" w:type="dxa"/>
            <w:gridSpan w:val="6"/>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3400" w:type="dxa"/>
            <w:gridSpan w:val="6"/>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tcW w:w="3300" w:type="dxa"/>
            <w:gridSpan w:val="4"/>
          </w:tcPr>
          <w:p>
            <w:pPr>
              <w:pStyle w:val="4"/>
            </w:pPr>
          </w:p>
        </w:tc>
        <w:tc>
          <w:tcPr>
            <w:tcW w:w="1" w:type="dxa"/>
          </w:tcPr>
          <w:p>
            <w:pPr>
              <w:pStyle w:val="4"/>
            </w:pPr>
          </w:p>
        </w:tc>
      </w:tr>
    </w:tbl>
    <w:p/>
    <w:sectPr>
      <w:pgSz w:w="11900" w:h="16840"/>
      <w:pgMar w:top="600" w:right="60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800"/>
  <w:compat>
    <w:useFELayout/>
    <w:splitPgBreakAndParaMark/>
    <w:compatSetting w:name="compatibilityMode" w:uri="http://schemas.microsoft.com/office/word" w:val="12"/>
  </w:compat>
  <w:rsids>
    <w:rsidRoot w:val="00000000"/>
    <w:rsid w:val="3AD472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Office_10.8.2.6726_F1E327BC-269C-435d-A152-05C5408002CA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2022-05-05T12:44:20Z</dcterms:created>
  <dc:creator>016709</dc:creator>
  <cp:lastModifiedBy>吴姗</cp:lastModifiedBy>
  <dcterms:modified xsi:type="dcterms:W3CDTF">2022-05-05T12:46:43Z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