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兴银理财和鑫财富优享2021年第9期净值型理财产品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和鑫财富优享2021年第9期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9K213A09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产品9K213A09自成立日以来，累计净值增长率为2.0920%，年化累计净值增长率为3.9564%。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816,739,954.76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816,739,954.76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