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兴银理财和鑫财富优享2021年第12期净值型理财产品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兴银理财和鑫财富优享2021年第12期净值型理财产品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Z7002021A000082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和鑫财富优享2021年第12期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9K213A12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1,000,000,000.00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产品9K213A12自成立日以来，累计净值增长率为1.4060%，年化累计净值增长率为3.6140%。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1,014,063,780.31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9K213A12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1,014,063,780.31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专户产品运作回顾：</w:t>
              <w:br/>
              <w:t xml:space="preserve">    利用专户产品投资限制少、封闭运作、追求绝对收益等特点，采取久期先于杠杆（优先通过对久期的选择调整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2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6"/>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无。</w:t>
              <w:br/>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Z京-同业借款20210812005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98.61</w:t>
                        </w:r>
                      </w:p>
                    </w:tc>
                  </w:tr>
                </w:tbl>
                <w:p>
                  <w:pPr>
                    <w:pStyle w:val="EMPTY_CELL_STYLE"/>
                  </w:pPr>
                </w:p>
              </w:tc>
            </w:tr>
          </w:tbl>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兴银理财和鑫财富优享2021年第12期净值型理财产品2021年年度报告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051010100101198256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兴银理财和鑫财富优享2021年第12期净值型理财产品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