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兴银理财和鑫财富优享2021年第14期净值型理财产品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和鑫财富优享2021年第14期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产品9K213A14自成立日以来，累计净值增长率为1.4960%，年化累计净值增长率为3.7919%。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202,991,301.40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202,991,301.40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98.53</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