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兴银理财和鑫财富优享2021年第24期净值型理财产品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产品9K213124自成立日以来，累计净值增长率为1.3400%，年化累计净值增长率为4.4872%。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810,718,522.92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东南大学工学学士，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其中机构专户管理规模120亿，平均费后收益4.88%。已兑付专户产品规模超过40亿，均达到业绩比较基准，平均超额22BP。企金公募产品月月盈规模180亿，2021年以来平均兑付收益3.53%，最大回撤0.03%，受到企业客户的一致好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171,234,370.00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21兴川国资PPN003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70,410,340.00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60,768,780.00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30,099,030.00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