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兴银理财兴动多策略5号净值型理财产品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789,148,021份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兴银ESG兴动多策略5号A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789,148,021.00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产品9K21605A自成立日以来，累计净值增长率为1.7800%，年化累计净值增长率为4.3899%。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803,193,962.10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803,193,962.10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从年度回顾的角度来看，2021年经济基本面从复苏、过热走向衰退，债券市场全年处于震荡下行的走势，权益市场走出以新能源为代表的结构性牛市，但是从我自身判断的角度，上半年，两个市场都出现的一定的预期差。</w:t>
              <w:br/>
              <w:t xml:space="preserve">    站在当下，对于明年的市场展望，基本面内生需求较弱，ROE、利润增速是个逐步下移的过程，因此决定了债券市场可能偏强，权益市场指数上行的概率不高，但是基本面及政策面的交错运行，会使得市场出现1-2次的预期差及纠偏的过程，相应带来投资机会或是挑战。结构上，债券的信用利差极低、期限利差好于信用利差，可保持一定的久期，来替代资质下沉。权益市场，估值的分化较大，政策打压的行业，如房地产、银行、互联网、教育的估值处于历史低位；传统周期、传媒、计算机、家电等行业以及部分中小市值公司估值也偏低；而中国的核心资产、高景气行业估值又偏贵，因此，总体而言，市场的系统风险并不大，结构性机会仍存，但PPI快速下行期指数面临一定的回调压力；超预期的风险点主要有中国经济超预期下行以及美国超预期加息。</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21民生银行CD323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417,811,743.50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【象山城投】应收账款财产权信托（第2期）（宁波象山城投）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260,184,400.00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21民生银行CD310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57,031,492.00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22,007,876.00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21贴债63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21豫园商城SCP003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21湘建工MTN001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bl>
          <w:p>
            <w:pPr>
              <w:pStyle w:val="EMPTY_CELL_STYLE"/>
            </w:pPr>
          </w:p>
        </w:tc>
        <w:tc>
          <w:tcPr>
     </w:tcPr>
          <w:p>
            <w:pPr>
              <w:pStyle w:val="EMPTY_CELL_STYLE"/>
            </w:pPr>
          </w:p>
        </w:tc>
      </w:tr>
      <w:tr>
        <w:trPr>
          <w:trHeight w:hRule="exact" w:val="5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051010100101237799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