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兴银理财和鑫财富悦享1号K款净值型理财产品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兴银理财和鑫财富悦享1号K款净值型理财产品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9B214210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Z7002021A000186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和鑫财富悦享1号K款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9B21421A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产品9B21421A自成立日以来，累计净值增长率为1.8060%，年化累计净值增长率为4.6422%。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509,028,695.04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509,028,695.04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资深固定收益投资经理，累计管理规模700亿。现任兴银理财专户投资部高级投资经理，拟任短债开放式产品投资经理。擅长债券研究与分析，熟悉各类银行理财产品投资管理模式，具有丰富的机构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19南昌工业MTN002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31,100,880.00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30,962,880.00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30,836,220.00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21太新04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30,203,310.00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20惠通债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30,162,758.14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30,144,390.00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30,108,180.00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30,047,451.94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29,999,996.19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29,890,380.00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18青岛黄岛MTN001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21汉江国资MTN005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支取</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兴银理财和鑫财富悦享1号K款净值型理财产品2021年年度报告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9B214210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051010100101242375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兴银理财和鑫财富悦享1号K款净值型理财产品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