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16,033,347,226.63份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产品9C212002自成立日以来，累计净值增长率为5.2480%，年化累计净值增长率为4.0756%。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16,874,855,675.23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开放式产品运作回顾：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上半年资金面宽松带动收益率下行，开放式产品采取提升久期、适度加杠杆的积极策略，票息打底的同时获取资本利得，产品表现较为优异。6月市场回调后，止盈利差压缩到极致的品种，降低产品实际久期。</w:t>
              <w:br/>
              <w:t xml:space="preserve">    下半年，受监管要求银行理财整改摊余成本估值影响，开放式产品积极调整投资策略，增配货币市场工具等低波动资产和利率互换工具，降低产品波动幅度。 同时密切跟踪债券市场走势，抓住震荡行情中的右侧机会，通过NCD和高等级信用债进行波段交易，获取超额收益，形成了开放式公募产品向下有底，向上有弹性的收益特征。</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1,224,058,800.12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714,365,398.32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417,712,402.49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21前海新居ABN001优先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