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兴银理财金雪球稳利1号C款净值型理财产品</w:t>
              <w:br/>
              <w:t xml:space="preserve">2021年年度报告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报告送出日期：2022年5月11日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 </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兴银理财金雪球稳利1号C款净值型理财产品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9C212003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Z7002020000081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14,606,628,645.17份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400"/>
        <w:gridCol w:w="4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9"/>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9"/>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产品9C212003自成立日以来，累计净值增长率为3.6140%，年化累计净值增长率为3.5460%。</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1.03614</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1.03614</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15,134,536,937.49</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罗俊鹏先生，现任兴银理财专户投资部投资经理，东南大学工学学士，上海交通大学硕士，具有4年固定收益投资经验，历任兴银理财固定收益部投资助理、投资经理，负责多款上市企业专户产品及企金公募月月盈产品管理，管理规模近300亿，产品业绩优异，擅长利率债交易及信用债套利挖掘，投资风格灵活，专注于多策略获取组合超额回报。其中机构专户管理规模120亿，平均费后收益4.88%。已兑付专户产品规模超过40亿，均达到业绩比较基准，平均超额22BP。企金公募产品月月盈规模180亿，2021年以来平均兑付收益3.53%，最大回撤0.03%，受到企业客户的一致好评。</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34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一、市场观点</w:t>
              <w:br/>
              <w:t xml:space="preserve">    债券市场受资金面波动和供给错位等多方面影响，2021年国内债市主线是融资收缩背景下结构性资产荒驱动债市走出一轮小牛市。</w:t>
              <w:br/>
              <w:t xml:space="preserve">    上半年债市看空做多，呈现震荡下行态势。1月初，央行跨年维稳，收益率震荡下行；1月中旬至春节前，央行OMO缩量，资金市场“钱荒”再现，叠加海外通胀加剧，债市剧烈调整，市场一致预期后期走势不容乐观。春节后，资金面超预期稳定、经济复苏趋缓、地方债发行滞后，利空因素低于预期，机构欠配下市场“看空做多”，收益率整体下行；6月初地方债供给提速，资金面小幅收敛，部分机构止盈离场，收益率触底上行。</w:t>
              <w:br/>
              <w:t xml:space="preserve">    下半年债市多空因素交织，两轮降准驱动债券市场向下突破。7月初央行意外降准，带动收益率出现一轮显著下行，10年国债一度下探至2.79%年度低点。2021年8月监管机构对理财产品使用摊余成本法计量作出窗口指导，要求存量理财产品在10月底完成整改，信用债受此冲击自9月开始下跌，加上9月PPI刷新近年来高位刷新纪录、央行官员提及十年国债处于偏低位置，市场降准预期明显减弱，利率债在四季度初开始加速下跌，10年国债收益率自四季度初的2.87%大幅上行至3.05%一线，信用债收益率普遍从8月底低位上行20-40bp。</w:t>
              <w:br/>
              <w:t xml:space="preserve">    随后央行行长易纲表示PPI将在年内走低，经济高频数据显示经济下行压力加大以及宽松资金面的助推下，市场收益率重回下行通道。12月央行再度降准、降息，经济稳增长压力凸显，债券收益率再度向下突破，收益率水平一路下行至年内低位。</w:t>
              <w:br/>
              <w:t xml:space="preserve">    展望明年一季度，对于债券市场，我们整体保持中性略偏乐观的态度。刚刚结束的中央经济工作会议提出当前经济面临“需求收缩、供给冲击、预期转弱”三重压力。在防疫措施与居民收入增速放缓的背景下，消费仍难快速恢复，出口在替代效应减弱以及高基数的影响下对经济拉动作用将减弱，房地产产业链压力不减，政策重心在明年一季度仍将是稳增长。政策基调仍可能是宽货币、宽信用，历史上双宽政策周期中债券表现强的概率较高。考虑到</w:t>
            </w: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92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明年一季度美联储加息可能性不高，国内货币政策仍处于宽松窗口，我们认为债券市场仍有参与机会。</w:t>
              <w:br/>
              <w:t xml:space="preserve">    二、2021年运作回顾</w:t>
              <w:br/>
              <w:t xml:space="preserve">    开放式产品运作回顾：</w:t>
              <w:br/>
              <w:t xml:space="preserve">    上半年资金面宽松带动收益率下行，开放式产品采取提升久期、适度加杠杆的积极策略，票息打底的同时获取资本利得，产品表现较为优异。6月市场回调后，止盈利差压缩到极致的品种，降低产品实际久期。</w:t>
              <w:br/>
              <w:t xml:space="preserve">    下半年，受监管要求银行理财整改摊余成本估值影响，开放式产品积极调整投资策略，增配货币市场工具等低波动资产和利率互换工具，降低产品波动幅度。 同时密切跟踪债券市场走势，抓住震荡行情中的右侧机会，通过NCD和高等级信用债进行波段交易，获取超额收益，形成了开放式公募产品向下有底，向上有弹性的收益特征。</w:t>
              <w:br/>
              <w:t xml:space="preserve">    三、2022年一季度投资策略</w:t>
              <w:br/>
              <w:t xml:space="preserve">    展望一季度，产品将继续保持稳健的投资风格：</w:t>
              <w:br/>
              <w:t xml:space="preserve">    1、发挥票息策略优势，同时维持中性偏积极的杠杆水平与中性偏积极的组合久期。</w:t>
              <w:br/>
              <w:t xml:space="preserve">    2、开放式产品优化资产配置结构，估值整改背景下控制产品收益波动。</w:t>
              <w:br/>
              <w:t xml:space="preserve">    3、专户产品保持久期中性，积极运用杠杆策略，把握行业利差、区域利差变化的收益挖掘机会和利率反弹时的配置机会。</w:t>
              <w:br/>
              <w:t xml:space="preserve">    4、关注货币政策边际变化和稳增长措施落地带来的交易机会。</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2021年12月31日的资产负债表，2021年度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2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29.42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63.38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63.38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42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新华资产-明远四号资产管理产品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1,531,089,000.00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21CSFD143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1,330,000,000.00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8.79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21CSFD181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阳光资产-优享5号资产管理产品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956,791,349.77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21CSFD159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兴银基金-兴运27号集合资产管理计划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590,515,648.09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中国工商银行金昌分行大额存单</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中国工商银行贵阳分行大额存单20210326001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Z存放同业（线上）20210913004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中国工商银行杭州分行定期存款228天001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21文汇01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龙岩文旅汇金发展集团有限公司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21鲁能源SCP006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21温江兴蓉CP001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21越秀金融CP002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19鄂州城投MTN002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21光大集团SCP021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21成都建工SCP002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21文汇01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龙岩文旅汇金发展集团有限公司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21文汇01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龙岩文旅汇金发展集团有限公司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7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051010100101029751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兴银理财金雪球稳利1号C款</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2022年5月11日</w:t>
            </w:r>
          </w:p>
        </w:tc>
        <w:tc>
          <w:tcPr>
     </w:tcPr>
          <w:p>
            <w:pPr>
              <w:pStyle w:val="EMPTY_CELL_STYLE"/>
            </w:pPr>
          </w:p>
        </w:tc>
        <w:tc>
          <w:tcPr>
     </w:tcPr>
          <w:p>
            <w:pPr>
              <w:pStyle w:val="EMPTY_CELL_STYLE"/>
            </w:pPr>
          </w:p>
        </w:tc>
      </w:tr>
      <w:tr>
        <w:trPr>
          <w:trHeight w:hRule="exact" w:val="1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