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42"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00"/>
        <w:gridCol w:w="160"/>
        <w:gridCol w:w="1"/>
        <w:gridCol w:w="39"/>
        <w:gridCol w:w="1"/>
      </w:tblGrid>
      <w:tr>
        <w:tblPrEx>
          <w:tblCellMar>
            <w:top w:w="0" w:type="dxa"/>
            <w:left w:w="10" w:type="dxa"/>
            <w:bottom w:w="0" w:type="dxa"/>
            <w:right w:w="10" w:type="dxa"/>
          </w:tblCellMar>
        </w:tblPrEx>
        <w:trPr>
          <w:gridAfter w:val="8"/>
          <w:wAfter w:w="34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兴银理财添利新私享净值型理财产品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8"/>
          <w:wAfter w:w="34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bookmarkStart w:id="15" w:name="_GoBack"/>
            <w:bookmarkEnd w:id="15"/>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兴银理财添利新私享净值型理财产品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9B310006</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36,028,545,078.30份</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8"/>
          <w:wAfter w:w="340" w:type="dxa"/>
          <w:trHeight w:val="5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报告期内，9B310006七日年化收益率均值3.0472%。同期业绩比较基准如下：</w:t>
            </w:r>
          </w:p>
        </w:tc>
        <w:tc>
          <w:p>
            <w:pPr>
              <w:pStyle w:val="4"/>
            </w:pPr>
          </w:p>
        </w:tc>
      </w:tr>
      <w:tr>
        <w:tblPrEx>
          <w:tblCellMar>
            <w:top w:w="0" w:type="dxa"/>
            <w:left w:w="10" w:type="dxa"/>
            <w:bottom w:w="0" w:type="dxa"/>
            <w:right w:w="10" w:type="dxa"/>
          </w:tblCellMar>
        </w:tblPrEx>
        <w:trPr>
          <w:gridAfter w:val="8"/>
          <w:wAfter w:w="340" w:type="dxa"/>
          <w:trHeight w:val="12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0.7557</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2.8910%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36,028,545,078.30</w:t>
            </w:r>
          </w:p>
        </w:tc>
        <w:tc>
          <w:p>
            <w:pPr>
              <w:pStyle w:val="4"/>
            </w:pP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8"/>
          <w:wAfter w:w="3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8"/>
          <w:wAfter w:w="34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7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2021.1.1-2021.12.31）本产品运作平稳，规模稳步增长。资产端以同业存单和短期限中高等级信用债为主，并视负债水平和市场变化动态调整建仓策略；负债端维持中性杠杆水平。整体收益率水平较为稳定，对私行客户有一定吸引力。</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p>
            <w:pPr>
              <w:pStyle w:val="4"/>
            </w:pPr>
          </w:p>
        </w:tc>
      </w:tr>
      <w:tr>
        <w:tblPrEx>
          <w:tblCellMar>
            <w:top w:w="0" w:type="dxa"/>
            <w:left w:w="10" w:type="dxa"/>
            <w:bottom w:w="0" w:type="dxa"/>
            <w:right w:w="10" w:type="dxa"/>
          </w:tblCellMar>
        </w:tblPrEx>
        <w:trPr>
          <w:gridAfter w:val="8"/>
          <w:wAfter w:w="340" w:type="dxa"/>
          <w:trHeight w:val="34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800" w:hRule="atLeast"/>
        </w:trPr>
        <w:tc>
          <w:p>
            <w:pPr>
              <w:pStyle w:val="4"/>
            </w:pPr>
          </w:p>
        </w:tc>
        <w:tc>
          <w:p>
            <w:pPr>
              <w:pStyle w:val="4"/>
            </w:pPr>
          </w:p>
        </w:tc>
        <w:tc>
          <w:tcPr>
            <w:gridSpan w:val="18"/>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1480" w:hRule="atLeast"/>
        </w:trPr>
        <w:tc>
          <w:p>
            <w:pPr>
              <w:pStyle w:val="4"/>
            </w:pPr>
          </w:p>
        </w:tc>
        <w:tc>
          <w:tcPr>
            <w:gridSpan w:val="17"/>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wAfter w:w="32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2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16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8"/>
          <w:wAfter w:w="34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8"/>
          <w:wAfter w:w="34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21杭州银行CD059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991,207,238.15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585,866,503.34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Z存放同业（线上）20210414001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496,895,648.04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21重庆银行CD045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495,628,936.01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386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8"/>
          <w:wAfter w:w="34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17象屿MTN002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19华润MTN005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21凤城河CP001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17中节能MTN001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17合建投MTN002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18京国资MTN001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19川高速MTN001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7" w:name="JR_PAGE_ANCHOR_0_8"/>
            <w:bookmarkEnd w:id="7"/>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21厦港务SCP009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21泸州窖SCP001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21闽漳龙SCP005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20鲁能源MTN002A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21金坛投资CP003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18徐新国资MTN001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18滁州城投MTN001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8" w:name="JR_PAGE_ANCHOR_0_9"/>
            <w:bookmarkEnd w:id="8"/>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0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19金桥开发MTN001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21国新保理SCP001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21镇江城建SCP013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wAfter w:w="340" w:type="dxa"/>
          <w:trHeight w:val="3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9" w:name="JR_PAGE_ANCHOR_0_10"/>
            <w:bookmarkEnd w:id="9"/>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0" w:name="JR_PAGE_ANCHOR_0_11"/>
            <w:bookmarkEnd w:id="10"/>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1" w:name="JR_PAGE_ANCHOR_0_12"/>
            <w:bookmarkEnd w:id="11"/>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2" w:name="JR_PAGE_ANCHOR_0_13"/>
            <w:bookmarkEnd w:id="12"/>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13" w:name="JR_PAGE_ANCHOR_0_14"/>
            <w:bookmarkEnd w:id="13"/>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051010100101076812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兴银理财添利新私享净值型理财产品</w:t>
                        </w:r>
                      </w:p>
                    </w:tc>
                  </w:tr>
                </w:tbl>
                <w:p>
                  <w:pPr>
                    <w:pStyle w:val="4"/>
                  </w:pPr>
                </w:p>
              </w:tc>
            </w:tr>
          </w:tbl>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703,157,340.23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220,517,741.13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194,778,826.54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179,841,882.05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178,339,861.21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0.4950</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0" w:hRule="atLeast"/>
        </w:trPr>
        <w:tc>
          <w:p>
            <w:pPr>
              <w:pStyle w:val="4"/>
              <w:pageBreakBefore/>
            </w:pPr>
            <w:bookmarkStart w:id="14" w:name="JR_PAGE_ANCHOR_0_15"/>
            <w:bookmarkEnd w:id="14"/>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兴银理财添利新私享净值型理财产品2021年年度报告</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30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171,059,484.81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0.4748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152,037,703.52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0.4220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122,560,142.20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120,037,709.50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0.3332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113,026,292.62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0.3137</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wAfter w:w="40" w:type="dxa"/>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40" w:type="dxa"/>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80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15</w:t>
            </w:r>
          </w:p>
        </w:tc>
        <w:tc>
          <w:tcPr>
            <w:gridSpan w:val="5"/>
          </w:tcPr>
          <w:p>
            <w:pPr>
              <w:pStyle w:val="4"/>
            </w:pPr>
          </w:p>
        </w:tc>
        <w:tc>
          <w:tcPr>
            <w:gridSpan w:val="5"/>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388C6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6942</Words>
  <Characters>11520</Characters>
  <TotalTime>10</TotalTime>
  <ScaleCrop>false</ScaleCrop>
  <LinksUpToDate>false</LinksUpToDate>
  <CharactersWithSpaces>11675</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2022-05-06T02:46:05Z</dcterms:created>
  <dc:creator>Administrator</dc:creator>
  <cp:lastModifiedBy>Administrator</cp:lastModifiedBy>
  <dcterms:modified xsi:type="dcterms:W3CDTF">2022-05-06T02:57:02Z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F4F88E172FAB4B3EB6CE189709946A93</vt:lpwstr>
  </property>
</Properties>
</file>