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兴银理财日日新1号净值型理财产品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理财份额投资人信息</w:t>
              <w:br/>
              <w:t xml:space="preserve">     8.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兴银理财日日新1号净值型理财产品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9B310060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Z7002021000064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27,477,401,040.13份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 + 浮动基数0.00%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日日新1号A（新客专属）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9B310061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21,082,887,880.57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日日新1号B（新客专属）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6,394,513,159.56</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200"/>
        <w:gridCol w:w="100"/>
        <w:gridCol w:w="20"/>
        <w:gridCol w:w="1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兴银理财日日新1号净值型理财产品2021年年度报告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0"/>
        </w:trPr>
        <w:tc>
          <w:tcPr>
     </w:tcPr>
          <w:p>
            <w:pPr>
              <w:pStyle w:val="EMPTY_CELL_STYLE"/>
            </w:pPr>
          </w:p>
        </w:tc>
        <w:tc>
          <w:tcPr>
            <w:gridSpan w:val="6"/>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    报告期内，9B310061七日年化收益率均值3.2790%，9B31006B七日年化收益率均值3.2200%。同期业绩比较基准如下：</w:t>
            </w: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9B310061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2021-03-24至2021-12-31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2021-08-25至2021-12-31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0.8528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27,477,401,040.13</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0.8528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21,082,887,880.57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0.8527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6,394,513,159.56</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投资经理。</w:t>
              <w:br/>
              <w:t xml:space="preserve">    李刚刚先生，清华大学工学学士、硕士，具有银行间本币市场交易员资格。2020年加入兴银理财从事理财产品投资组合管理工作，协助管理总规模逾千亿，善于大资金的资产配置和流动性管理。现担任“兴业银行现金宝-添利1号净值型理财产品”、“兴业银行金雪球添利快线净值型理财产品”、“兴银理财添利8号净值型理财产品”和“兴银理财日日新1号净值型理财产品”投资经理助理。</w:t>
            </w: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1、宏观经济及市场情况</w:t>
              <w:br/>
              <w:t xml:space="preserve">    回顾2021年债市，永煤事件后市场信用风险偏好降低，各省份城投债信用利差走势分化加剧，强区域城投债利差压缩。宽货币环境叠加信用收缩风险，债市整体走出慢牛行情，利率债全年呈现“前高后低、中枢下行”的趋势。10年期国债在春节达到3.28%高点，7月初央行超预期降准叠加政治局会议加大债市波动，推动长端利率下行至2.8%，随后窄幅震荡。下半年以来经济下行压力加大，国内疫情反复，趋严的地产和城投融资政策使得实体融资环境进一步恶化，10月市场交易通胀预期助推国债回调至3.0%，11月地产风险发酵与紧信用加剧，12月年内地二次降准落地，资金面宽松加上信贷需求转弱，10年期国债再次震荡下行至2.80%低位。</w:t>
              <w:br/>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展望2022，外部环境更趋复杂，海外经济体宽松政策陆续退出，而国内经济发展面临需求收缩、供给冲击、预期转弱三重压力，市场预期财政、货币政策将加大“跨周期调节”力度，与逆周期调节相结合，财政政策“保证强度、加快力度”，货币政策“以我为主”“灵活适度”保持流动性合理充裕。经济惯性下行、通胀预期、降息预期、内外部周期错位、全球疫情持续演变，国内债市面临诸多不确定性因素。22年债市可能呈现低幅震荡的格局，关注政策和基本面边际变化带来的投资机会。</w:t>
              <w:br/>
              <w:t xml:space="preserve">2、前期运作回顾</w:t>
              <w:br/>
              <w:t xml:space="preserve">    报告期内（2021.1.1-2021.12.31）本产品运作平稳，规模稳步增长。资产端以同业存单和短期限中高等级信用债为主，并视负债水平和市场变化动态调整建仓策略；负债端维持中性杠杆水平。整体收益率水平较为稳定，对新客具有一定吸引力。</w:t>
              <w:br/>
              <w:t xml:space="preserve">3、后期投资策略</w:t>
              <w:br/>
              <w:t xml:space="preserve">    下阶段本产品依然会沿袭安全性和流动性优先、兼顾收益性的投资策略，为客户创造稳定的收益回报。在对宏观和利率走势保持深入跟踪研判的基础上，综合考量各投资品种的风险收益特征，并结合已颁布的《关于规范现金管理类理财产品管理有关事项的通知》的相关要求调整投资组合，灵活制定投资策略。</w:t>
              <w:br/>
            </w: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8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兴银理财日日新1号净值型理财产品2021年年度报告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3200"/>
              <w:gridCol w:w="4000"/>
              <w:gridCol w:w="2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5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21江苏银行CD029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1,692,686,445.61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21浦发银行CD106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1,093,852,916.28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Z存放同业（线上）20210917003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Z存放同业（线上）20210414003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21平安银行CD082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994,553,463.63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21成都农商银行CD110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988,709,223.13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830,264,031.04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21徽商银行CD009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596,867,169.96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21建设银行CD212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587,074,083.60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建设银行深圳分行活期存款（约期）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r>
          </w:tbl>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19外滩PPN002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20晋能MTN013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21兖矿MTN002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21夏商MTN002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21格盟SCP004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21横店SCP002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17鲁能源MTN001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18豫交投MTN001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18鄂联投MTN001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18闽漳龙MTN001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19泸州窖MTN002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20湘高速MTN004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20苏沙钢MTN001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21昌吉州MTN001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21鄂长投MTN001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21南昌轨交GN001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21象屿金象CP001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18太仓资产MTN001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18广州高新MTN001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18汉江国资MTN004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18湖州城投MTN001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18陕投集团MTN006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20太原国投PPN002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20安踏体育MTN001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20平安不动MTN002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20思明国控MTN004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20江门建设MTN002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20海宁城投MTN001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20海鸿投资MTN001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20青岛城投MTN004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21南京医药MTN001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21娄底城发MTN001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21平湖城投MTN001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21徐州新盛PPN001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兴银理财日日新1号净值型理财产品2021年年度报告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21桐昆控股SCP002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21武汉港航MTN001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21滨江房产MTN002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21现代投资SCP002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21生产兵团MTN002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21益航资产PPN001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21连云金控MTN001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21国开绿债01清发</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051010100101178786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兴银理财日日新1号净值型理财产品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7.理财份额投资人信息</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0"/>
              </w:rPr>
              <w:t xml:space="preserve"> 7.1期末现金管理类产品前十大份额投资人情况</w:t>
            </w: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140"/>
        <w:gridCol w:w="160"/>
        <w:gridCol w:w="1"/>
      </w:tblGrid>
      <w:tr>
        <w:trPr>
          <w:trHeight w:hRule="exact" w:val="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兴银理财日日新1号净值型理财产品2021年年度报告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投资者类别</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持有份额（份）</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占总份额占比（%）</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14,704,727.43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0.0535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12,184,802.12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0.0443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12,141,204.01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0.0442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12,135,344.62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0.0442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12,122,226.52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0.0441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12,125,034.60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0.0441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12,083,144.45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0.0440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12,099,488.65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0.0440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12,067,651.13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0.0439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12,059,385.53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0.0439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8.影响理财份额投资人决策的其他重要信息</w:t>
            </w: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0"/>
              </w:rPr>
              <w:t xml:space="preserve"> 8.1报告期内单一投资者持有产品份额达到或者超过该产品总份额20%的情形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7"/>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c>
          <w:tcPr>
     </w:tcPr>
          <w:p>
            <w:pPr>
              <w:pStyle w:val="EMPTY_CELL_STYLE"/>
            </w:pPr>
          </w:p>
        </w:tc>
      </w:tr>
      <w:tr>
        <w:trPr>
          <w:trHeight w:hRule="exact" w:val="4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10/</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