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兴银理财兴承恒享开放式1号净值型理财产品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兴银理财兴承恒享开放式1号净值型理财产品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9D210010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6,436,422,729.76份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hint="eastAsia" w:ascii="宋体" w:hAnsi="宋体" w:eastAsia="宋体" w:cs="宋体"/>
                <w:color w:val="000000"/>
                <w:sz w:val="21"/>
              </w:rPr>
              <w:t>业绩报酬计提起点</w:t>
            </w:r>
            <w:bookmarkStart w:id="8" w:name="_GoBack"/>
            <w:bookmarkEnd w:id="8"/>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兴承恒享开放式1号A（业绩报酬计提起点6%）</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9D21001A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3,025,598,218.92</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兴承恒享开放式1号B（业绩报酬计提起点6%）</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9D21001B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3,410,824,510.84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产品9D21001A自成立日以来，累计净值增长率为2.4470%，年化累计净值增长率为3.8169%。</w:t>
            </w:r>
            <w:r>
              <w:rPr>
                <w:rFonts w:ascii="宋体" w:hAnsi="宋体" w:eastAsia="宋体" w:cs="宋体"/>
                <w:color w:val="000000"/>
                <w:sz w:val="21"/>
              </w:rPr>
              <w:br w:type="textWrapping"/>
            </w:r>
            <w:r>
              <w:rPr>
                <w:rFonts w:ascii="宋体" w:hAnsi="宋体" w:eastAsia="宋体" w:cs="宋体"/>
                <w:color w:val="000000"/>
                <w:sz w:val="21"/>
              </w:rPr>
              <w:t>产品9D21001B自成立日以来，累计净值增长率为2.5800%，年化累计净值增长率为4.0244%。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1.02518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1.02518</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6,598,475,052.85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1.02447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1.02447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3,099,639,219.90</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1.02580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1.02580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3,498,835,832.95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5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学士、金融硕士，5年债券投资研究经验，曾任华安基金管理有限公司信用研究员，于2019年加入兴银理财，现任固收部投资经理，主要负责纯债和股债混合产品投资管理工作。追求持续稳定回报，在保证流动性和安全性的前提下，兼顾收益性，擅长通过基本面研究、信用研究和主动管理获取超额收益。</w:t>
            </w:r>
            <w:r>
              <w:rPr>
                <w:rFonts w:ascii="宋体" w:hAnsi="宋体" w:eastAsia="宋体" w:cs="宋体"/>
                <w:color w:val="000000"/>
                <w:sz w:val="21"/>
              </w:rPr>
              <w:br w:type="textWrapping"/>
            </w:r>
            <w:r>
              <w:rPr>
                <w:rFonts w:ascii="宋体" w:hAnsi="宋体" w:eastAsia="宋体" w:cs="宋体"/>
                <w:color w:val="000000"/>
                <w:sz w:val="21"/>
              </w:rPr>
              <w:t xml:space="preserve">    徐聪女士，上海交通大学金融学硕士，浙江大学经济学+英语双学士，8年金融投资从业经验。曾任招商银行总行-投行部投资经理，现任兴银理财股票与量化部投资经理。</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42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33.68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0.85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32.53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29.74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30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Z京-同业借款20210615001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15.16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Z京-同业借款20210622001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9.09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21苏常州城建ZR003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7.58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21中国银行CD032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292,057,200.00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21中国银行CD030</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291,966,000.00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21农业银行CD054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291,951,900.00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195,226,800.00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21苏国信MTN003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153,122,400.00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21申证03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102,002,100.00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21财信02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101,629,600.00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20河钢集MTN006</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21太仓水务MTN001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21生产兵团MTN002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051010100101198641</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兴银理财兴承恒享开放式1号净值型理财产品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7" w:name="JR_PAGE_ANCHOR_0_8"/>
            <w:bookmarkEnd w:id="7"/>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36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1DC62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2022-05-05T12:41:52Z</dcterms:created>
  <dc:creator>016709</dc:creator>
  <cp:lastModifiedBy>吴姗</cp:lastModifiedBy>
  <dcterms:modified xsi:type="dcterms:W3CDTF">2022-05-05T12:42:54Z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