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1,181,236,150.64份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产品9H910001自成立日以来，累计净值增长率为46.4670%，年化累计净值增长率为25.0894%。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1.26467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1.46467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1,493,868,815.92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br/>
              <w:t xml:space="preserve">    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62,213,064.17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55,405,759.66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国泰致远优势 ( 009474.OF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44,036,623.71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银华心怡（005794.OF）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42,270,319.55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东方主题精选（400032.OF）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38,957,839.91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广发多因子（002943.OF）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38,615,491.90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工银瑞信新金融 ( 001054.OF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36,401,813.92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易方达瑞程A ( 003961.OF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33,653,866.88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富国美丽中国(002593.OF)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32,467,375.46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华夏军工安全（002251.OF）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28,891,954.54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