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兴业银行天天万利宝稳利6号K款净值型理财产品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兴业银行天天万利宝稳利6号K款净值型理财产品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2,804,756,602.14份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2,804,756,602.14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产品9K20915A自成立日以来，累计净值增长率为2.6090%，年化累计净值增长率为3.8399%。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2,847,674,334.97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2,847,674,334.97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8年资深投研经验，曾任职于广发银行股份有限公司、广发证券股份有限公司，2019年加入兴银理财有限责任公司，任固定收益投资部投资经理。投资经验丰富，产品业绩优秀，市场敏感度极强，擅长宏观基本面研究和信用价值挖掘，通过趋势判断和波段交易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Z深-同业借款20211028001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611,877,207.64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138,425,140.00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70,824,600.00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G19安租1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70,301,910.00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50,321,250.00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21杭州国资MTN001(权益出资)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19柳钢集团MTN002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21武商贸集MTN002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21海发集团SCP003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兴业银行天天万利宝稳利6号K款净值型理财产品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