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26,524,823,387.24份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产品9C212001自成立日以来，累计净值增长率为6.2780%，年化累计净值增长率为3.9372%。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28,190,175,761.68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二、2021年运作回顾</w:t>
              <w:br/>
              <w:t xml:space="preserve">    开放式产品运作回顾：</w:t>
              <w:br/>
              <w:t xml:space="preserve">    上半年资金面宽松带动收益率下行，开放式产品采取提升久期、适度加杠杆的积极策略，票息打底的同时获取资本利得，产品表现较为优异。6月市场回调后，止盈利差压缩到极致的品种，降低产品实际久期。</w:t>
              <w:br/>
              <w:t xml:space="preserve">    下半年，受监管要求银行理财整改摊余成本估值影响，开放式产品积极调整投资策略，增配货币市场工具等低波动资产和利率互换工具，降低产品波动幅度。 同时密切跟踪债券市场走势，抓住震荡行情中的右侧机会，通过NCD和高等级信用债进行波段交易，获取超额收益，形成了开放式公募产品向下有底，向上有弹性的收益特征。</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3,060,177,956.14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2,043,485,915.78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853,856,688.36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521,556,305.38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21太仓港SCP008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21新都香城SCP001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21河南资产SCP004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106,379,000.00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